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AA89BF">
      <w:pPr>
        <w:spacing w:line="600" w:lineRule="exact"/>
        <w:jc w:val="center"/>
        <w:rPr>
          <w:rFonts w:hint="eastAsia" w:ascii="楷体_GB2312" w:eastAsia="楷体_GB2312"/>
          <w:b/>
          <w:w w:val="90"/>
          <w:sz w:val="44"/>
          <w:szCs w:val="44"/>
        </w:rPr>
      </w:pPr>
    </w:p>
    <w:p w14:paraId="4973C76E">
      <w:pPr>
        <w:spacing w:line="600" w:lineRule="exact"/>
        <w:jc w:val="center"/>
        <w:rPr>
          <w:rFonts w:hint="eastAsia" w:ascii="楷体_GB2312" w:eastAsia="楷体_GB2312"/>
          <w:b/>
          <w:w w:val="90"/>
          <w:sz w:val="44"/>
          <w:szCs w:val="44"/>
        </w:rPr>
      </w:pPr>
    </w:p>
    <w:p w14:paraId="52888CE2">
      <w:pPr>
        <w:spacing w:line="700" w:lineRule="exact"/>
        <w:jc w:val="center"/>
        <w:rPr>
          <w:rFonts w:hint="eastAsia" w:ascii="楷体_GB2312" w:eastAsia="楷体_GB2312"/>
          <w:b/>
          <w:w w:val="90"/>
          <w:sz w:val="32"/>
          <w:szCs w:val="32"/>
        </w:rPr>
      </w:pPr>
    </w:p>
    <w:p w14:paraId="6ED9A003">
      <w:pPr>
        <w:spacing w:line="600" w:lineRule="exact"/>
        <w:jc w:val="center"/>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湖南财经工业职业技术学院2022年度</w:t>
      </w:r>
    </w:p>
    <w:p w14:paraId="6B1B34D2">
      <w:pPr>
        <w:spacing w:line="600" w:lineRule="exact"/>
        <w:jc w:val="center"/>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部门整体支出绩效评价报告</w:t>
      </w:r>
    </w:p>
    <w:p w14:paraId="2DAE0D9D">
      <w:pPr>
        <w:spacing w:line="600" w:lineRule="exact"/>
        <w:jc w:val="center"/>
        <w:rPr>
          <w:rFonts w:hint="eastAsia" w:ascii="仿宋_GB2312" w:eastAsia="仿宋_GB2312"/>
          <w:color w:val="000000"/>
          <w:sz w:val="32"/>
          <w:szCs w:val="32"/>
        </w:rPr>
      </w:pPr>
      <w:r>
        <w:rPr>
          <w:rFonts w:hint="eastAsia" w:ascii="仿宋_GB2312" w:eastAsia="仿宋_GB2312"/>
          <w:color w:val="000000"/>
          <w:sz w:val="32"/>
          <w:szCs w:val="32"/>
        </w:rPr>
        <w:t>天诚专审字[202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w:t>
      </w:r>
      <w:r>
        <w:rPr>
          <w:rFonts w:hint="eastAsia" w:ascii="仿宋_GB2312" w:eastAsia="仿宋_GB2312"/>
          <w:sz w:val="32"/>
          <w:szCs w:val="32"/>
          <w:lang w:val="en-US" w:eastAsia="zh-CN"/>
        </w:rPr>
        <w:t xml:space="preserve">      </w:t>
      </w:r>
      <w:r>
        <w:rPr>
          <w:rFonts w:hint="eastAsia" w:ascii="仿宋_GB2312" w:eastAsia="仿宋_GB2312"/>
          <w:color w:val="000000"/>
          <w:sz w:val="32"/>
          <w:szCs w:val="32"/>
        </w:rPr>
        <w:t>号</w:t>
      </w:r>
    </w:p>
    <w:p w14:paraId="0E13CDF5">
      <w:pPr>
        <w:spacing w:line="600" w:lineRule="exact"/>
        <w:rPr>
          <w:rFonts w:hint="eastAsia" w:ascii="楷体_GB2312" w:eastAsia="楷体_GB2312"/>
          <w:sz w:val="15"/>
        </w:rPr>
      </w:pPr>
    </w:p>
    <w:p w14:paraId="142F517D">
      <w:pPr>
        <w:spacing w:line="300" w:lineRule="exact"/>
        <w:rPr>
          <w:rFonts w:hint="eastAsia" w:ascii="楷体_GB2312" w:eastAsia="楷体_GB2312"/>
          <w:sz w:val="15"/>
        </w:rPr>
      </w:pPr>
    </w:p>
    <w:p w14:paraId="1999F689">
      <w:pPr>
        <w:spacing w:line="300" w:lineRule="exact"/>
        <w:rPr>
          <w:rFonts w:hint="eastAsia" w:ascii="楷体_GB2312" w:eastAsia="楷体_GB2312"/>
          <w:sz w:val="15"/>
        </w:rPr>
      </w:pPr>
    </w:p>
    <w:p w14:paraId="34D10355">
      <w:pPr>
        <w:spacing w:line="300" w:lineRule="exact"/>
        <w:rPr>
          <w:rFonts w:hint="eastAsia" w:ascii="楷体_GB2312" w:eastAsia="楷体_GB2312"/>
          <w:sz w:val="15"/>
        </w:rPr>
      </w:pPr>
    </w:p>
    <w:p w14:paraId="009DE3CE">
      <w:pPr>
        <w:spacing w:line="300" w:lineRule="exact"/>
        <w:rPr>
          <w:rFonts w:hint="eastAsia" w:ascii="楷体_GB2312" w:eastAsia="楷体_GB2312"/>
          <w:sz w:val="15"/>
        </w:rPr>
      </w:pPr>
    </w:p>
    <w:p w14:paraId="702B5516">
      <w:pPr>
        <w:spacing w:line="300" w:lineRule="exact"/>
        <w:rPr>
          <w:rFonts w:hint="eastAsia" w:ascii="楷体_GB2312" w:eastAsia="楷体_GB2312"/>
          <w:sz w:val="15"/>
        </w:rPr>
      </w:pPr>
    </w:p>
    <w:p w14:paraId="34A09FBD">
      <w:pPr>
        <w:spacing w:line="300" w:lineRule="exact"/>
        <w:rPr>
          <w:rFonts w:hint="eastAsia" w:ascii="楷体_GB2312" w:eastAsia="楷体_GB2312"/>
          <w:sz w:val="15"/>
        </w:rPr>
      </w:pPr>
    </w:p>
    <w:p w14:paraId="4E860001">
      <w:pPr>
        <w:spacing w:line="300" w:lineRule="exact"/>
        <w:rPr>
          <w:rFonts w:hint="eastAsia" w:ascii="楷体_GB2312" w:eastAsia="楷体_GB2312"/>
          <w:sz w:val="15"/>
        </w:rPr>
      </w:pPr>
    </w:p>
    <w:p w14:paraId="0A34DBFC">
      <w:pPr>
        <w:spacing w:line="300" w:lineRule="exact"/>
        <w:rPr>
          <w:rFonts w:hint="eastAsia" w:ascii="楷体_GB2312" w:eastAsia="楷体_GB2312"/>
          <w:sz w:val="15"/>
        </w:rPr>
      </w:pPr>
    </w:p>
    <w:p w14:paraId="3B466119">
      <w:pPr>
        <w:spacing w:line="300" w:lineRule="exact"/>
        <w:rPr>
          <w:rFonts w:hint="eastAsia" w:ascii="楷体_GB2312" w:eastAsia="楷体_GB2312"/>
          <w:sz w:val="15"/>
        </w:rPr>
      </w:pPr>
    </w:p>
    <w:p w14:paraId="1C315329">
      <w:pPr>
        <w:spacing w:line="300" w:lineRule="exact"/>
        <w:rPr>
          <w:rFonts w:hint="eastAsia" w:ascii="楷体_GB2312" w:eastAsia="楷体_GB2312"/>
          <w:sz w:val="15"/>
        </w:rPr>
      </w:pPr>
    </w:p>
    <w:p w14:paraId="7D05D969">
      <w:pPr>
        <w:spacing w:line="300" w:lineRule="exact"/>
        <w:rPr>
          <w:rFonts w:hint="eastAsia" w:ascii="楷体_GB2312" w:eastAsia="楷体_GB2312"/>
          <w:sz w:val="15"/>
        </w:rPr>
      </w:pPr>
    </w:p>
    <w:p w14:paraId="58AC9207">
      <w:pPr>
        <w:spacing w:line="300" w:lineRule="exact"/>
        <w:rPr>
          <w:rFonts w:hint="eastAsia" w:ascii="楷体_GB2312" w:eastAsia="楷体_GB2312"/>
          <w:sz w:val="15"/>
        </w:rPr>
      </w:pPr>
    </w:p>
    <w:p w14:paraId="29371FD6">
      <w:pPr>
        <w:spacing w:line="300" w:lineRule="exact"/>
        <w:rPr>
          <w:rFonts w:hint="eastAsia" w:ascii="楷体_GB2312" w:eastAsia="楷体_GB2312"/>
          <w:sz w:val="15"/>
        </w:rPr>
      </w:pPr>
    </w:p>
    <w:p w14:paraId="4A5C7060">
      <w:pPr>
        <w:spacing w:line="300" w:lineRule="exact"/>
        <w:rPr>
          <w:rFonts w:hint="eastAsia" w:ascii="楷体_GB2312" w:eastAsia="楷体_GB2312"/>
          <w:sz w:val="15"/>
        </w:rPr>
      </w:pPr>
    </w:p>
    <w:p w14:paraId="4DFB3F83">
      <w:pPr>
        <w:spacing w:line="300" w:lineRule="exact"/>
        <w:rPr>
          <w:rFonts w:hint="eastAsia" w:ascii="楷体_GB2312" w:eastAsia="楷体_GB2312"/>
          <w:sz w:val="15"/>
        </w:rPr>
      </w:pPr>
    </w:p>
    <w:p w14:paraId="5B4ADE4E">
      <w:pPr>
        <w:spacing w:line="300" w:lineRule="exact"/>
        <w:rPr>
          <w:rFonts w:hint="eastAsia" w:ascii="楷体_GB2312" w:eastAsia="楷体_GB2312"/>
          <w:sz w:val="15"/>
        </w:rPr>
      </w:pPr>
    </w:p>
    <w:p w14:paraId="2D21D921">
      <w:pPr>
        <w:spacing w:line="300" w:lineRule="exact"/>
        <w:rPr>
          <w:rFonts w:hint="eastAsia" w:ascii="楷体_GB2312" w:eastAsia="楷体_GB2312"/>
          <w:sz w:val="15"/>
        </w:rPr>
      </w:pPr>
    </w:p>
    <w:p w14:paraId="4869FD0D">
      <w:pPr>
        <w:spacing w:line="300" w:lineRule="exact"/>
        <w:rPr>
          <w:rFonts w:hint="eastAsia" w:ascii="楷体_GB2312" w:eastAsia="楷体_GB2312"/>
          <w:sz w:val="15"/>
        </w:rPr>
      </w:pPr>
    </w:p>
    <w:p w14:paraId="5A0CEC22">
      <w:pPr>
        <w:spacing w:line="300" w:lineRule="exact"/>
        <w:rPr>
          <w:rFonts w:hint="eastAsia" w:ascii="楷体_GB2312" w:eastAsia="楷体_GB2312"/>
          <w:sz w:val="15"/>
        </w:rPr>
      </w:pPr>
    </w:p>
    <w:p w14:paraId="0E8024B9">
      <w:pPr>
        <w:spacing w:line="300" w:lineRule="exact"/>
        <w:rPr>
          <w:rFonts w:hint="eastAsia" w:ascii="楷体_GB2312" w:eastAsia="楷体_GB2312"/>
          <w:sz w:val="15"/>
        </w:rPr>
      </w:pPr>
    </w:p>
    <w:p w14:paraId="663E414E">
      <w:pPr>
        <w:spacing w:line="300" w:lineRule="exact"/>
        <w:rPr>
          <w:rFonts w:hint="eastAsia" w:ascii="楷体_GB2312" w:eastAsia="楷体_GB2312"/>
          <w:sz w:val="15"/>
        </w:rPr>
      </w:pPr>
    </w:p>
    <w:p w14:paraId="00F66712">
      <w:pPr>
        <w:spacing w:line="300" w:lineRule="exact"/>
        <w:rPr>
          <w:rFonts w:hint="eastAsia" w:ascii="楷体_GB2312" w:eastAsia="楷体_GB2312"/>
          <w:sz w:val="32"/>
          <w:szCs w:val="32"/>
        </w:rPr>
      </w:pPr>
    </w:p>
    <w:p w14:paraId="71059A97">
      <w:pPr>
        <w:spacing w:line="600" w:lineRule="exact"/>
        <w:jc w:val="center"/>
        <w:rPr>
          <w:rFonts w:hint="eastAsia" w:ascii="仿宋_GB2312" w:eastAsia="仿宋_GB2312"/>
          <w:color w:val="000000"/>
          <w:sz w:val="32"/>
          <w:szCs w:val="32"/>
        </w:rPr>
      </w:pPr>
      <w:r>
        <w:rPr>
          <w:rFonts w:hint="eastAsia" w:ascii="楷体_GB2312" w:eastAsia="楷体_GB2312"/>
          <w:color w:val="000000"/>
          <w:sz w:val="32"/>
          <w:szCs w:val="32"/>
        </w:rPr>
        <w:t xml:space="preserve"> </w:t>
      </w:r>
      <w:r>
        <w:rPr>
          <w:rFonts w:hint="eastAsia" w:ascii="仿宋_GB2312" w:eastAsia="仿宋_GB2312"/>
          <w:color w:val="000000"/>
          <w:sz w:val="32"/>
          <w:szCs w:val="32"/>
        </w:rPr>
        <w:t xml:space="preserve"> 湖南天诚联合会计师事务所（普通合伙）</w:t>
      </w:r>
    </w:p>
    <w:p w14:paraId="5DA94D21">
      <w:pPr>
        <w:spacing w:line="600" w:lineRule="exact"/>
        <w:jc w:val="center"/>
        <w:rPr>
          <w:rFonts w:hint="eastAsia"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月</w:t>
      </w:r>
      <w:r>
        <w:rPr>
          <w:rFonts w:ascii="仿宋_GB2312" w:eastAsia="仿宋_GB2312"/>
          <w:color w:val="000000"/>
          <w:sz w:val="32"/>
          <w:szCs w:val="32"/>
        </w:rPr>
        <w:t>5</w:t>
      </w:r>
      <w:r>
        <w:rPr>
          <w:rFonts w:hint="eastAsia" w:ascii="仿宋_GB2312" w:eastAsia="仿宋_GB2312"/>
          <w:color w:val="000000"/>
          <w:sz w:val="32"/>
          <w:szCs w:val="32"/>
        </w:rPr>
        <w:t>日</w:t>
      </w:r>
    </w:p>
    <w:p w14:paraId="5ACB0A80">
      <w:pPr>
        <w:pStyle w:val="2"/>
        <w:rPr>
          <w:rFonts w:hint="eastAsia" w:ascii="仿宋_GB2312" w:eastAsia="仿宋_GB2312"/>
          <w:color w:val="000000"/>
          <w:sz w:val="32"/>
          <w:szCs w:val="32"/>
        </w:rPr>
      </w:pPr>
    </w:p>
    <w:p w14:paraId="2B420686">
      <w:pPr>
        <w:pStyle w:val="2"/>
        <w:rPr>
          <w:rFonts w:hint="eastAsia" w:ascii="仿宋_GB2312" w:eastAsia="仿宋_GB2312"/>
          <w:color w:val="000000"/>
          <w:sz w:val="32"/>
          <w:szCs w:val="32"/>
        </w:rPr>
      </w:pPr>
    </w:p>
    <w:p w14:paraId="155125BB">
      <w:pPr>
        <w:tabs>
          <w:tab w:val="left" w:pos="1386"/>
        </w:tabs>
        <w:spacing w:line="240" w:lineRule="exact"/>
        <w:rPr>
          <w:rFonts w:ascii="仿宋_GB2312" w:eastAsia="仿宋_GB2312"/>
          <w:bCs/>
          <w:sz w:val="15"/>
          <w:szCs w:val="15"/>
        </w:rPr>
      </w:pPr>
    </w:p>
    <w:p w14:paraId="022A8CAF">
      <w:pPr>
        <w:tabs>
          <w:tab w:val="left" w:pos="1386"/>
        </w:tabs>
        <w:spacing w:line="240" w:lineRule="exact"/>
        <w:rPr>
          <w:rFonts w:ascii="仿宋_GB2312" w:eastAsia="仿宋_GB2312"/>
          <w:bCs/>
          <w:sz w:val="15"/>
          <w:szCs w:val="15"/>
        </w:rPr>
      </w:pPr>
    </w:p>
    <w:p w14:paraId="04F8DD20">
      <w:pPr>
        <w:tabs>
          <w:tab w:val="left" w:pos="1386"/>
        </w:tabs>
        <w:spacing w:line="240" w:lineRule="exact"/>
        <w:rPr>
          <w:rFonts w:ascii="仿宋_GB2312" w:eastAsia="仿宋_GB2312"/>
          <w:bCs/>
          <w:sz w:val="15"/>
          <w:szCs w:val="15"/>
        </w:rPr>
        <w:sectPr>
          <w:headerReference r:id="rId3" w:type="default"/>
          <w:footerReference r:id="rId4" w:type="default"/>
          <w:pgSz w:w="11906" w:h="16838"/>
          <w:pgMar w:top="1440" w:right="1587" w:bottom="1440" w:left="1587"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pPr>
    </w:p>
    <w:p w14:paraId="745D2B68">
      <w:pPr>
        <w:tabs>
          <w:tab w:val="left" w:pos="1386"/>
        </w:tabs>
        <w:spacing w:line="240" w:lineRule="exact"/>
        <w:rPr>
          <w:rFonts w:ascii="仿宋_GB2312" w:eastAsia="仿宋_GB2312"/>
          <w:bCs/>
          <w:spacing w:val="-8"/>
          <w:sz w:val="18"/>
          <w:szCs w:val="18"/>
        </w:rPr>
      </w:pPr>
      <w:r>
        <w:rPr>
          <w:rFonts w:ascii="仿宋_GB2312" w:eastAsia="仿宋_GB2312"/>
          <w:bCs/>
          <w:sz w:val="15"/>
          <w:szCs w:val="15"/>
        </w:rPr>
        <w:t>HUNAN TIANCHENG UNITED CERTIFIED PUBLIC ACCOUNTANTS</w:t>
      </w:r>
      <w:r>
        <w:rPr>
          <w:rFonts w:ascii="仿宋_GB2312" w:eastAsia="仿宋_GB2312"/>
          <w:bCs/>
          <w:spacing w:val="20"/>
          <w:sz w:val="18"/>
          <w:szCs w:val="18"/>
        </w:rPr>
        <w:t xml:space="preserve">         </w:t>
      </w:r>
      <w:r>
        <w:rPr>
          <w:rFonts w:hint="eastAsia" w:ascii="仿宋_GB2312" w:eastAsia="仿宋_GB2312"/>
          <w:bCs/>
          <w:spacing w:val="-12"/>
        </w:rPr>
        <w:t>湖南天诚联合会计师事务所（普通合伙）</w:t>
      </w:r>
    </w:p>
    <w:p w14:paraId="579881AE">
      <w:pPr>
        <w:spacing w:line="240" w:lineRule="exact"/>
        <w:rPr>
          <w:rFonts w:ascii="仿宋_GB2312" w:eastAsia="仿宋_GB2312"/>
          <w:bCs/>
          <w:spacing w:val="-6"/>
          <w:sz w:val="18"/>
          <w:szCs w:val="18"/>
        </w:rPr>
      </w:pPr>
      <w:r>
        <w:rPr>
          <w:rFonts w:ascii="仿宋_GB2312" w:eastAsia="仿宋_GB2312"/>
          <w:bCs/>
          <w:sz w:val="15"/>
          <w:szCs w:val="15"/>
        </w:rPr>
        <w:t>Add</w:t>
      </w:r>
      <w:r>
        <w:rPr>
          <w:rFonts w:hint="eastAsia" w:ascii="仿宋_GB2312" w:eastAsia="仿宋_GB2312"/>
          <w:bCs/>
          <w:sz w:val="15"/>
          <w:szCs w:val="15"/>
        </w:rPr>
        <w:t>：</w:t>
      </w:r>
      <w:r>
        <w:rPr>
          <w:rFonts w:ascii="仿宋_GB2312" w:eastAsia="仿宋_GB2312"/>
          <w:bCs/>
          <w:sz w:val="15"/>
          <w:szCs w:val="15"/>
        </w:rPr>
        <w:t>06/F</w:t>
      </w:r>
      <w:r>
        <w:rPr>
          <w:rFonts w:hint="eastAsia" w:ascii="仿宋_GB2312" w:eastAsia="仿宋_GB2312"/>
          <w:bCs/>
          <w:sz w:val="15"/>
          <w:szCs w:val="15"/>
        </w:rPr>
        <w:t>，</w:t>
      </w:r>
      <w:r>
        <w:rPr>
          <w:rFonts w:ascii="仿宋_GB2312" w:eastAsia="仿宋_GB2312"/>
          <w:bCs/>
          <w:sz w:val="15"/>
          <w:szCs w:val="15"/>
        </w:rPr>
        <w:t>NO29 Zheng Xiang Nan Rd.Heng Yang</w:t>
      </w:r>
      <w:r>
        <w:rPr>
          <w:rFonts w:ascii="仿宋_GB2312" w:eastAsia="仿宋_GB2312"/>
          <w:bCs/>
          <w:sz w:val="18"/>
          <w:szCs w:val="18"/>
        </w:rPr>
        <w:t xml:space="preserve">           </w:t>
      </w:r>
      <w:r>
        <w:rPr>
          <w:rFonts w:ascii="仿宋_GB2312" w:eastAsia="仿宋_GB2312"/>
          <w:bCs/>
          <w:sz w:val="18"/>
          <w:szCs w:val="18"/>
        </w:rPr>
        <w:tab/>
      </w:r>
      <w:r>
        <w:rPr>
          <w:rFonts w:ascii="仿宋_GB2312" w:eastAsia="仿宋_GB2312"/>
          <w:bCs/>
          <w:sz w:val="18"/>
          <w:szCs w:val="18"/>
        </w:rPr>
        <w:tab/>
      </w:r>
      <w:r>
        <w:rPr>
          <w:rFonts w:hint="eastAsia" w:ascii="仿宋_GB2312" w:eastAsia="仿宋_GB2312"/>
          <w:bCs/>
          <w:spacing w:val="-6"/>
          <w:sz w:val="18"/>
          <w:szCs w:val="18"/>
        </w:rPr>
        <w:t>地址</w:t>
      </w:r>
      <w:r>
        <w:rPr>
          <w:rFonts w:ascii="仿宋_GB2312" w:eastAsia="仿宋_GB2312"/>
          <w:bCs/>
          <w:spacing w:val="-6"/>
          <w:sz w:val="18"/>
          <w:szCs w:val="18"/>
        </w:rPr>
        <w:t>:</w:t>
      </w:r>
      <w:r>
        <w:rPr>
          <w:rFonts w:hint="eastAsia" w:ascii="仿宋_GB2312" w:eastAsia="仿宋_GB2312"/>
          <w:bCs/>
          <w:spacing w:val="-6"/>
          <w:sz w:val="18"/>
          <w:szCs w:val="18"/>
        </w:rPr>
        <w:t>衡阳市蒸湘南路</w:t>
      </w:r>
      <w:r>
        <w:rPr>
          <w:rFonts w:ascii="仿宋_GB2312" w:eastAsia="仿宋_GB2312"/>
          <w:bCs/>
          <w:spacing w:val="-6"/>
          <w:sz w:val="18"/>
          <w:szCs w:val="18"/>
        </w:rPr>
        <w:t>29</w:t>
      </w:r>
      <w:r>
        <w:rPr>
          <w:rFonts w:hint="eastAsia" w:ascii="仿宋_GB2312" w:eastAsia="仿宋_GB2312"/>
          <w:bCs/>
          <w:spacing w:val="-6"/>
          <w:sz w:val="18"/>
          <w:szCs w:val="18"/>
        </w:rPr>
        <w:t>号</w:t>
      </w:r>
      <w:r>
        <w:rPr>
          <w:rFonts w:ascii="仿宋_GB2312" w:eastAsia="仿宋_GB2312"/>
          <w:bCs/>
          <w:spacing w:val="-6"/>
          <w:sz w:val="18"/>
          <w:szCs w:val="18"/>
        </w:rPr>
        <w:t>(</w:t>
      </w:r>
      <w:r>
        <w:rPr>
          <w:rFonts w:hint="eastAsia" w:ascii="仿宋_GB2312" w:eastAsia="仿宋_GB2312"/>
          <w:bCs/>
          <w:spacing w:val="-6"/>
          <w:sz w:val="18"/>
          <w:szCs w:val="18"/>
        </w:rPr>
        <w:t>石油大厦</w:t>
      </w:r>
      <w:r>
        <w:rPr>
          <w:rFonts w:ascii="仿宋_GB2312" w:eastAsia="仿宋_GB2312"/>
          <w:bCs/>
          <w:spacing w:val="-6"/>
          <w:sz w:val="18"/>
          <w:szCs w:val="18"/>
        </w:rPr>
        <w:t>6</w:t>
      </w:r>
      <w:r>
        <w:rPr>
          <w:rFonts w:hint="eastAsia" w:ascii="仿宋_GB2312" w:eastAsia="仿宋_GB2312"/>
          <w:bCs/>
          <w:spacing w:val="-6"/>
          <w:sz w:val="18"/>
          <w:szCs w:val="18"/>
        </w:rPr>
        <w:t>楼</w:t>
      </w:r>
      <w:r>
        <w:rPr>
          <w:rFonts w:ascii="仿宋_GB2312" w:eastAsia="仿宋_GB2312"/>
          <w:bCs/>
          <w:spacing w:val="-6"/>
          <w:sz w:val="18"/>
          <w:szCs w:val="18"/>
        </w:rPr>
        <w:t>)</w:t>
      </w:r>
    </w:p>
    <w:p w14:paraId="14D8713F">
      <w:pPr>
        <w:spacing w:line="240" w:lineRule="exact"/>
        <w:rPr>
          <w:rFonts w:ascii="仿宋_GB2312" w:eastAsia="仿宋_GB2312"/>
          <w:bCs/>
          <w:spacing w:val="20"/>
          <w:sz w:val="18"/>
          <w:szCs w:val="18"/>
        </w:rPr>
      </w:pPr>
      <w:r>
        <w:rPr>
          <w:rFonts w:ascii="仿宋_GB2312" w:eastAsia="仿宋_GB2312"/>
          <w:bCs/>
          <w:spacing w:val="20"/>
          <w:sz w:val="18"/>
          <w:szCs w:val="18"/>
        </w:rPr>
        <w:t xml:space="preserve">Tel:0734-8158048   8159248           </w:t>
      </w:r>
      <w:r>
        <w:rPr>
          <w:rFonts w:ascii="仿宋_GB2312" w:eastAsia="仿宋_GB2312"/>
          <w:bCs/>
          <w:spacing w:val="20"/>
          <w:sz w:val="18"/>
          <w:szCs w:val="18"/>
        </w:rPr>
        <w:tab/>
      </w:r>
      <w:r>
        <w:rPr>
          <w:rFonts w:ascii="仿宋_GB2312" w:eastAsia="仿宋_GB2312"/>
          <w:bCs/>
          <w:spacing w:val="20"/>
          <w:sz w:val="18"/>
          <w:szCs w:val="18"/>
        </w:rPr>
        <w:tab/>
      </w:r>
      <w:r>
        <w:rPr>
          <w:rFonts w:hint="eastAsia" w:ascii="仿宋_GB2312" w:eastAsia="仿宋_GB2312"/>
          <w:bCs/>
          <w:spacing w:val="20"/>
          <w:sz w:val="18"/>
          <w:szCs w:val="18"/>
        </w:rPr>
        <w:t>电话</w:t>
      </w:r>
      <w:r>
        <w:rPr>
          <w:rFonts w:ascii="仿宋_GB2312" w:eastAsia="仿宋_GB2312"/>
          <w:bCs/>
          <w:spacing w:val="20"/>
          <w:sz w:val="18"/>
          <w:szCs w:val="18"/>
        </w:rPr>
        <w:t xml:space="preserve">:0734-8158048   8159248  </w:t>
      </w:r>
    </w:p>
    <w:p w14:paraId="6E502E18">
      <w:pPr>
        <w:spacing w:line="240" w:lineRule="exact"/>
        <w:rPr>
          <w:rFonts w:ascii="仿宋_GB2312" w:eastAsia="仿宋_GB2312"/>
          <w:bCs/>
          <w:spacing w:val="20"/>
          <w:sz w:val="18"/>
          <w:szCs w:val="18"/>
        </w:rPr>
      </w:pPr>
      <w:r>
        <w:rPr>
          <w:rFonts w:ascii="仿宋_GB2312" w:eastAsia="仿宋_GB2312"/>
          <w:bCs/>
          <w:spacing w:val="20"/>
          <w:sz w:val="18"/>
          <w:szCs w:val="18"/>
        </w:rPr>
        <w:t xml:space="preserve">P.C:421001                         </w:t>
      </w:r>
      <w:r>
        <w:rPr>
          <w:rFonts w:ascii="仿宋_GB2312" w:eastAsia="仿宋_GB2312"/>
          <w:bCs/>
          <w:spacing w:val="20"/>
          <w:sz w:val="18"/>
          <w:szCs w:val="18"/>
        </w:rPr>
        <w:tab/>
      </w:r>
      <w:r>
        <w:rPr>
          <w:rFonts w:ascii="仿宋_GB2312" w:eastAsia="仿宋_GB2312"/>
          <w:bCs/>
          <w:spacing w:val="20"/>
          <w:sz w:val="18"/>
          <w:szCs w:val="18"/>
        </w:rPr>
        <w:tab/>
      </w:r>
      <w:r>
        <w:rPr>
          <w:rFonts w:hint="eastAsia" w:ascii="仿宋_GB2312" w:eastAsia="仿宋_GB2312"/>
          <w:bCs/>
          <w:spacing w:val="20"/>
          <w:sz w:val="18"/>
          <w:szCs w:val="18"/>
        </w:rPr>
        <w:t>邮政编码</w:t>
      </w:r>
      <w:r>
        <w:rPr>
          <w:rFonts w:ascii="仿宋_GB2312" w:eastAsia="仿宋_GB2312"/>
          <w:bCs/>
          <w:spacing w:val="20"/>
          <w:sz w:val="18"/>
          <w:szCs w:val="18"/>
        </w:rPr>
        <w:t xml:space="preserve">:421001         </w:t>
      </w:r>
    </w:p>
    <w:p w14:paraId="7E093711">
      <w:pPr>
        <w:keepNext w:val="0"/>
        <w:keepLines w:val="0"/>
        <w:pageBreakBefore w:val="0"/>
        <w:widowControl w:val="0"/>
        <w:kinsoku/>
        <w:wordWrap/>
        <w:overflowPunct/>
        <w:topLinePunct w:val="0"/>
        <w:autoSpaceDE/>
        <w:autoSpaceDN/>
        <w:bidi w:val="0"/>
        <w:adjustRightInd/>
        <w:snapToGrid/>
        <w:spacing w:line="180" w:lineRule="exact"/>
        <w:jc w:val="both"/>
        <w:textAlignment w:val="auto"/>
        <w:rPr>
          <w:rFonts w:hint="eastAsia" w:ascii="方正小标宋简体" w:hAnsi="Times New Roman" w:eastAsia="方正小标宋简体" w:cs="Times New Roman"/>
          <w:b w:val="0"/>
          <w:bCs w:val="0"/>
          <w:sz w:val="44"/>
          <w:szCs w:val="44"/>
          <w:lang w:eastAsia="zh-CN"/>
        </w:rPr>
      </w:pPr>
      <w:r>
        <w:rPr>
          <w:rFonts w:ascii="仿宋_GB2312" w:eastAsia="仿宋_GB2312"/>
          <w:bCs/>
          <w:spacing w:val="20"/>
          <w:sz w:val="18"/>
          <w:szCs w:val="18"/>
          <w:u w:val="single"/>
        </w:rPr>
        <w:t xml:space="preserve">                                                                    </w:t>
      </w:r>
    </w:p>
    <w:p w14:paraId="643817A9">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b w:val="0"/>
          <w:bCs w:val="0"/>
          <w:sz w:val="44"/>
          <w:szCs w:val="44"/>
          <w:lang w:eastAsia="zh-CN"/>
        </w:rPr>
      </w:pPr>
    </w:p>
    <w:p w14:paraId="1DC536E2">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湖南财经工业职业技术学院2022年度</w:t>
      </w:r>
    </w:p>
    <w:p w14:paraId="0F4494ED">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szCs w:val="24"/>
        </w:rPr>
      </w:pPr>
      <w:r>
        <w:rPr>
          <w:rFonts w:hint="eastAsia" w:ascii="方正小标宋简体" w:hAnsi="方正小标宋简体" w:eastAsia="方正小标宋简体" w:cs="方正小标宋简体"/>
          <w:b w:val="0"/>
          <w:bCs w:val="0"/>
          <w:sz w:val="44"/>
          <w:szCs w:val="44"/>
        </w:rPr>
        <w:t>部门整体支出绩效评价报告</w:t>
      </w:r>
    </w:p>
    <w:p w14:paraId="0CC7A6A0">
      <w:pPr>
        <w:spacing w:line="520" w:lineRule="exact"/>
        <w:jc w:val="center"/>
        <w:rPr>
          <w:rFonts w:ascii="仿宋_GB2312" w:eastAsia="仿宋_GB2312"/>
          <w:b w:val="0"/>
          <w:bCs/>
          <w:sz w:val="32"/>
          <w:szCs w:val="32"/>
        </w:rPr>
      </w:pPr>
      <w:r>
        <w:rPr>
          <w:rFonts w:hint="eastAsia" w:ascii="仿宋_GB2312" w:eastAsia="仿宋_GB2312"/>
          <w:b w:val="0"/>
          <w:bCs/>
          <w:sz w:val="32"/>
          <w:szCs w:val="32"/>
        </w:rPr>
        <w:t>天诚专审字</w:t>
      </w:r>
      <w:r>
        <w:rPr>
          <w:rFonts w:ascii="仿宋_GB2312" w:eastAsia="仿宋_GB2312"/>
          <w:b w:val="0"/>
          <w:bCs/>
          <w:sz w:val="32"/>
          <w:szCs w:val="32"/>
        </w:rPr>
        <w:t>[202</w:t>
      </w:r>
      <w:r>
        <w:rPr>
          <w:rFonts w:hint="eastAsia" w:ascii="仿宋_GB2312" w:eastAsia="仿宋_GB2312"/>
          <w:b w:val="0"/>
          <w:bCs/>
          <w:sz w:val="32"/>
          <w:szCs w:val="32"/>
          <w:lang w:val="en-US" w:eastAsia="zh-CN"/>
        </w:rPr>
        <w:t>3</w:t>
      </w:r>
      <w:r>
        <w:rPr>
          <w:rFonts w:ascii="仿宋_GB2312" w:eastAsia="仿宋_GB2312"/>
          <w:b w:val="0"/>
          <w:bCs/>
          <w:sz w:val="32"/>
          <w:szCs w:val="32"/>
        </w:rPr>
        <w:t>]</w:t>
      </w:r>
      <w:r>
        <w:rPr>
          <w:rFonts w:hint="eastAsia" w:ascii="仿宋_GB2312" w:eastAsia="仿宋_GB2312"/>
          <w:b w:val="0"/>
          <w:bCs/>
          <w:sz w:val="32"/>
          <w:szCs w:val="32"/>
          <w:lang w:val="en-US" w:eastAsia="zh-CN"/>
        </w:rPr>
        <w:t xml:space="preserve">6    </w:t>
      </w:r>
      <w:r>
        <w:rPr>
          <w:rFonts w:hint="eastAsia" w:ascii="仿宋_GB2312" w:eastAsia="仿宋_GB2312"/>
          <w:b w:val="0"/>
          <w:bCs/>
          <w:sz w:val="32"/>
          <w:szCs w:val="32"/>
        </w:rPr>
        <w:t>号</w:t>
      </w:r>
    </w:p>
    <w:p w14:paraId="39385CB4">
      <w:pPr>
        <w:pageBreakBefore w:val="0"/>
        <w:kinsoku/>
        <w:wordWrap/>
        <w:overflowPunct/>
        <w:topLinePunct w:val="0"/>
        <w:bidi w:val="0"/>
        <w:adjustRightInd/>
        <w:snapToGrid/>
        <w:spacing w:beforeAutospacing="0" w:afterAutospacing="0" w:line="580" w:lineRule="exact"/>
        <w:ind w:left="0" w:leftChars="0"/>
        <w:jc w:val="both"/>
        <w:textAlignment w:val="auto"/>
        <w:rPr>
          <w:rFonts w:hint="default" w:ascii="Times New Roman" w:hAnsi="Times New Roman" w:cs="Times New Roman"/>
          <w:sz w:val="32"/>
          <w:szCs w:val="32"/>
        </w:rPr>
      </w:pPr>
    </w:p>
    <w:p w14:paraId="18449CA8">
      <w:pPr>
        <w:pageBreakBefore w:val="0"/>
        <w:kinsoku/>
        <w:wordWrap/>
        <w:overflowPunct/>
        <w:topLinePunct w:val="0"/>
        <w:autoSpaceDE/>
        <w:autoSpaceDN/>
        <w:bidi w:val="0"/>
        <w:adjustRightInd/>
        <w:snapToGrid/>
        <w:spacing w:beforeAutospacing="0" w:afterAutospacing="0" w:line="580" w:lineRule="exact"/>
        <w:ind w:left="0" w:leftChars="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衡阳市财政局</w:t>
      </w:r>
      <w:r>
        <w:rPr>
          <w:rFonts w:hint="default" w:ascii="Times New Roman" w:hAnsi="Times New Roman" w:eastAsia="仿宋_GB2312" w:cs="Times New Roman"/>
          <w:sz w:val="32"/>
          <w:szCs w:val="32"/>
          <w:lang w:eastAsia="zh-CN"/>
        </w:rPr>
        <w:t>：</w:t>
      </w:r>
    </w:p>
    <w:p w14:paraId="5688A25B">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为提高财政资金使用效益，衡量部门职责的履行情况和效果，增强预算单位绩效管理责任主体意识，贯彻落实《中共湖南省委办公厅 湖南省人民政府办公厅关于全面实施预算绩效管理的实施意见》（湘办发〔2019〕10号）和《中共衡阳市委办公室 衡阳市人民政府关于印发〈衡阳市预算绩效管理实施办法〉的通知》（衡办发〔2021〕13号）等精神和</w:t>
      </w:r>
      <w:r>
        <w:rPr>
          <w:rFonts w:hint="default" w:ascii="Times New Roman" w:hAnsi="Times New Roman" w:eastAsia="仿宋_GB2312" w:cs="Times New Roman"/>
          <w:color w:val="auto"/>
          <w:sz w:val="32"/>
          <w:szCs w:val="32"/>
        </w:rPr>
        <w:t>《衡阳市财政局关于开展</w:t>
      </w:r>
      <w:r>
        <w:rPr>
          <w:rFonts w:hint="default" w:ascii="Times New Roman" w:hAnsi="Times New Roman" w:eastAsia="仿宋_GB2312" w:cs="Times New Roman"/>
          <w:color w:val="auto"/>
          <w:sz w:val="32"/>
          <w:szCs w:val="32"/>
          <w:lang w:eastAsia="zh-CN"/>
        </w:rPr>
        <w:t>2022年度</w:t>
      </w:r>
      <w:r>
        <w:rPr>
          <w:rFonts w:hint="default" w:ascii="Times New Roman" w:hAnsi="Times New Roman" w:eastAsia="仿宋_GB2312" w:cs="Times New Roman"/>
          <w:color w:val="auto"/>
          <w:sz w:val="32"/>
          <w:szCs w:val="32"/>
        </w:rPr>
        <w:t>市直预算部门整体支出财政绩效评价的通知》</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衡财绩〔2023〕206 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要求</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sz w:val="32"/>
          <w:szCs w:val="32"/>
        </w:rPr>
        <w:t>受衡阳市财政局</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rPr>
        <w:t>委托，</w:t>
      </w:r>
      <w:r>
        <w:rPr>
          <w:rFonts w:hint="default" w:ascii="Times New Roman" w:hAnsi="Times New Roman" w:eastAsia="仿宋_GB2312" w:cs="Times New Roman"/>
          <w:sz w:val="32"/>
          <w:szCs w:val="32"/>
          <w:lang w:val="en-US" w:eastAsia="zh-CN"/>
        </w:rPr>
        <w:t>湖南天诚联合会计师事务所（普通合伙）</w:t>
      </w:r>
      <w:r>
        <w:rPr>
          <w:rFonts w:hint="default" w:ascii="Times New Roman" w:hAnsi="Times New Roman" w:eastAsia="仿宋_GB2312" w:cs="Times New Roman"/>
          <w:sz w:val="32"/>
          <w:szCs w:val="32"/>
        </w:rPr>
        <w:t>成立绩效评价工作组，于202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年5月31日至202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日对衡阳市</w:t>
      </w:r>
      <w:r>
        <w:rPr>
          <w:rFonts w:hint="default" w:ascii="Times New Roman" w:hAnsi="Times New Roman" w:eastAsia="仿宋_GB2312" w:cs="Times New Roman"/>
          <w:sz w:val="32"/>
          <w:szCs w:val="32"/>
          <w:lang w:eastAsia="zh-CN"/>
        </w:rPr>
        <w:t>湖南财经工业职业技术学院</w:t>
      </w:r>
      <w:r>
        <w:rPr>
          <w:rFonts w:hint="default" w:ascii="Times New Roman" w:hAnsi="Times New Roman" w:eastAsia="仿宋_GB2312" w:cs="Times New Roman"/>
          <w:sz w:val="32"/>
          <w:szCs w:val="32"/>
        </w:rPr>
        <w:t>（以下简称“</w:t>
      </w:r>
      <w:r>
        <w:rPr>
          <w:rFonts w:hint="default" w:ascii="Times New Roman" w:hAnsi="Times New Roman" w:eastAsia="仿宋_GB2312" w:cs="Times New Roman"/>
          <w:sz w:val="32"/>
          <w:szCs w:val="32"/>
          <w:lang w:eastAsia="zh-CN"/>
        </w:rPr>
        <w:t>财工院</w:t>
      </w:r>
      <w:r>
        <w:rPr>
          <w:rFonts w:hint="default" w:ascii="Times New Roman" w:hAnsi="Times New Roman" w:eastAsia="仿宋_GB2312" w:cs="Times New Roman"/>
          <w:sz w:val="32"/>
          <w:szCs w:val="32"/>
        </w:rPr>
        <w:t>”）整体支出实施了绩效评价，涉及评价金额</w:t>
      </w:r>
      <w:r>
        <w:rPr>
          <w:rFonts w:hint="default" w:ascii="Times New Roman" w:hAnsi="Times New Roman" w:eastAsia="仿宋_GB2312" w:cs="Times New Roman"/>
          <w:sz w:val="32"/>
          <w:szCs w:val="32"/>
          <w:lang w:eastAsia="zh-CN"/>
        </w:rPr>
        <w:t>20,138.14</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eastAsia="zh-CN"/>
        </w:rPr>
        <w:t>17,438.14</w:t>
      </w:r>
      <w:r>
        <w:rPr>
          <w:rFonts w:hint="default" w:ascii="Times New Roman" w:hAnsi="Times New Roman" w:eastAsia="仿宋_GB2312" w:cs="Times New Roman"/>
          <w:sz w:val="32"/>
          <w:szCs w:val="32"/>
        </w:rPr>
        <w:t>万元、项目支出</w:t>
      </w:r>
      <w:r>
        <w:rPr>
          <w:rFonts w:hint="default" w:ascii="Times New Roman" w:hAnsi="Times New Roman" w:eastAsia="仿宋_GB2312" w:cs="Times New Roman"/>
          <w:sz w:val="32"/>
          <w:szCs w:val="32"/>
          <w:lang w:eastAsia="zh-CN"/>
        </w:rPr>
        <w:t>2,700.00</w:t>
      </w:r>
      <w:r>
        <w:rPr>
          <w:rFonts w:hint="default" w:ascii="Times New Roman" w:hAnsi="Times New Roman" w:eastAsia="仿宋_GB2312" w:cs="Times New Roman"/>
          <w:sz w:val="32"/>
          <w:szCs w:val="32"/>
        </w:rPr>
        <w:t>万元。现将部门整体绩效评价情况报告如下：</w:t>
      </w:r>
    </w:p>
    <w:p w14:paraId="52504C89">
      <w:pPr>
        <w:pStyle w:val="4"/>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0"/>
        <w:jc w:val="both"/>
        <w:textAlignment w:val="auto"/>
        <w:rPr>
          <w:rFonts w:hint="default" w:ascii="Times New Roman" w:hAnsi="Times New Roman" w:cs="Times New Roman"/>
          <w:b w:val="0"/>
          <w:bCs/>
          <w:sz w:val="32"/>
          <w:szCs w:val="32"/>
        </w:rPr>
      </w:pPr>
      <w:bookmarkStart w:id="0" w:name="_Toc79571957"/>
      <w:r>
        <w:rPr>
          <w:rFonts w:hint="default" w:ascii="Times New Roman" w:hAnsi="Times New Roman" w:cs="Times New Roman"/>
          <w:b w:val="0"/>
          <w:bCs/>
          <w:sz w:val="32"/>
          <w:szCs w:val="32"/>
        </w:rPr>
        <w:t>一、部门基本情况</w:t>
      </w:r>
      <w:bookmarkEnd w:id="0"/>
    </w:p>
    <w:p w14:paraId="152780FC">
      <w:pPr>
        <w:pStyle w:val="5"/>
        <w:pageBreakBefore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sz w:val="32"/>
          <w:szCs w:val="32"/>
        </w:rPr>
      </w:pPr>
      <w:bookmarkStart w:id="1" w:name="_Toc79571958"/>
      <w:r>
        <w:rPr>
          <w:rFonts w:hint="eastAsia" w:ascii="楷体_GB2312" w:hAnsi="楷体_GB2312" w:eastAsia="楷体_GB2312" w:cs="楷体_GB2312"/>
          <w:b/>
          <w:sz w:val="32"/>
          <w:szCs w:val="32"/>
        </w:rPr>
        <w:t>（一）部门概况</w:t>
      </w:r>
      <w:bookmarkEnd w:id="1"/>
    </w:p>
    <w:p w14:paraId="38E4691E">
      <w:pPr>
        <w:rPr>
          <w:rFonts w:hint="eastAsia"/>
        </w:rPr>
      </w:pPr>
    </w:p>
    <w:p w14:paraId="47F50C1F">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湖南财经工业职业技术学院由衡阳市人民政府主办，湖南省教育厅主管的全日制普通高等院校。办学宗旨和业务范围：培养高级、高技能财经和工业应用型技术人才，促进经济发展。会计、机电工程、经济贸易、电子信息、汽车工程、现代物流等学科高等专科学历教育相关继续教育、专业培训、科学研究、学术交流相关社会服务。</w:t>
      </w:r>
    </w:p>
    <w:p w14:paraId="4277AE4F">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bookmarkStart w:id="15" w:name="_GoBack"/>
      <w:bookmarkEnd w:id="15"/>
      <w:r>
        <w:rPr>
          <w:rFonts w:hint="eastAsia" w:ascii="Times New Roman" w:hAnsi="Times New Roman" w:eastAsia="仿宋_GB2312" w:cs="Times New Roman"/>
          <w:sz w:val="32"/>
          <w:szCs w:val="32"/>
          <w:lang w:eastAsia="zh-CN"/>
        </w:rPr>
        <w:t>截至2022年</w:t>
      </w:r>
      <w:r>
        <w:rPr>
          <w:rFonts w:hint="default" w:ascii="Times New Roman" w:hAnsi="Times New Roman" w:eastAsia="仿宋_GB2312" w:cs="Times New Roman"/>
          <w:sz w:val="32"/>
          <w:szCs w:val="32"/>
        </w:rPr>
        <w:t>12月31日，学院核定全额拨款事业编制755人，在校学生12291人。学院内设部门30个，其中设会计学院、智能制造学院、经济贸易学院、信息工程学院、汽车工程学院、现代物流学院、职业技能教育学院、马克思主义学院、人文素质学院、体育教育学院、继续教育学院等11个教学系部。开设专业22个，其中</w:t>
      </w:r>
      <w:r>
        <w:rPr>
          <w:rFonts w:hint="default" w:ascii="Times New Roman" w:hAnsi="Times New Roman" w:eastAsia="仿宋_GB2312" w:cs="Times New Roman"/>
          <w:sz w:val="32"/>
          <w:szCs w:val="32"/>
          <w:lang w:eastAsia="zh-CN"/>
        </w:rPr>
        <w:t>楚怡高水平</w:t>
      </w:r>
      <w:r>
        <w:rPr>
          <w:rFonts w:hint="default" w:ascii="Times New Roman" w:hAnsi="Times New Roman" w:eastAsia="仿宋_GB2312" w:cs="Times New Roman"/>
          <w:sz w:val="32"/>
          <w:szCs w:val="32"/>
        </w:rPr>
        <w:t>专业群3个，分别是</w:t>
      </w:r>
      <w:r>
        <w:rPr>
          <w:rFonts w:hint="default" w:ascii="Times New Roman" w:hAnsi="Times New Roman" w:eastAsia="仿宋_GB2312" w:cs="Times New Roman"/>
          <w:sz w:val="32"/>
          <w:szCs w:val="32"/>
          <w:lang w:eastAsia="zh-CN"/>
        </w:rPr>
        <w:t>大数据与会计</w:t>
      </w:r>
      <w:r>
        <w:rPr>
          <w:rFonts w:hint="default" w:ascii="Times New Roman" w:hAnsi="Times New Roman" w:eastAsia="仿宋_GB2312" w:cs="Times New Roman"/>
          <w:sz w:val="32"/>
          <w:szCs w:val="32"/>
        </w:rPr>
        <w:t>专业群、</w:t>
      </w:r>
      <w:r>
        <w:rPr>
          <w:rFonts w:hint="default" w:ascii="Times New Roman" w:hAnsi="Times New Roman" w:eastAsia="仿宋_GB2312" w:cs="Times New Roman"/>
          <w:sz w:val="32"/>
          <w:szCs w:val="32"/>
          <w:lang w:eastAsia="zh-CN"/>
        </w:rPr>
        <w:t>模具设计与制造</w:t>
      </w:r>
      <w:r>
        <w:rPr>
          <w:rFonts w:hint="default" w:ascii="Times New Roman" w:hAnsi="Times New Roman" w:eastAsia="仿宋_GB2312" w:cs="Times New Roman"/>
          <w:sz w:val="32"/>
          <w:szCs w:val="32"/>
        </w:rPr>
        <w:t>专业群、</w:t>
      </w:r>
      <w:r>
        <w:rPr>
          <w:rFonts w:hint="default" w:ascii="Times New Roman" w:hAnsi="Times New Roman" w:eastAsia="仿宋_GB2312" w:cs="Times New Roman"/>
          <w:sz w:val="32"/>
          <w:szCs w:val="32"/>
          <w:lang w:eastAsia="zh-CN"/>
        </w:rPr>
        <w:t>电子商务</w:t>
      </w:r>
      <w:r>
        <w:rPr>
          <w:rFonts w:hint="default" w:ascii="Times New Roman" w:hAnsi="Times New Roman" w:eastAsia="仿宋_GB2312" w:cs="Times New Roman"/>
          <w:sz w:val="32"/>
          <w:szCs w:val="32"/>
        </w:rPr>
        <w:t>专业群。</w:t>
      </w:r>
    </w:p>
    <w:p w14:paraId="427B6E53">
      <w:pPr>
        <w:pStyle w:val="5"/>
        <w:pageBreakBefore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sz w:val="32"/>
          <w:szCs w:val="32"/>
          <w:lang w:val="en-US" w:eastAsia="zh-CN"/>
        </w:rPr>
      </w:pPr>
      <w:bookmarkStart w:id="2" w:name="_Toc79571961"/>
      <w:r>
        <w:rPr>
          <w:rFonts w:hint="eastAsia" w:ascii="楷体_GB2312" w:hAnsi="楷体_GB2312" w:eastAsia="楷体_GB2312" w:cs="楷体_GB2312"/>
          <w:b/>
          <w:sz w:val="32"/>
          <w:szCs w:val="32"/>
        </w:rPr>
        <w:t>（二）</w:t>
      </w:r>
      <w:r>
        <w:rPr>
          <w:rFonts w:hint="eastAsia" w:ascii="楷体_GB2312" w:hAnsi="楷体_GB2312" w:eastAsia="楷体_GB2312" w:cs="楷体_GB2312"/>
          <w:b/>
          <w:sz w:val="32"/>
          <w:szCs w:val="32"/>
          <w:lang w:val="en-US" w:eastAsia="zh-CN"/>
        </w:rPr>
        <w:t>部门主要职能</w:t>
      </w:r>
    </w:p>
    <w:p w14:paraId="00D35CDD">
      <w:pPr>
        <w:pageBreakBefore w:val="0"/>
        <w:widowControl/>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lang w:val="zh-CN" w:eastAsia="zh-CN"/>
        </w:rPr>
      </w:pPr>
      <w:r>
        <w:rPr>
          <w:rFonts w:hint="default" w:ascii="Times New Roman" w:hAnsi="Times New Roman" w:eastAsia="仿宋_GB2312" w:cs="Times New Roman"/>
          <w:sz w:val="32"/>
          <w:szCs w:val="32"/>
          <w:lang w:val="zh-CN" w:eastAsia="zh-CN"/>
        </w:rPr>
        <w:t>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zh-CN" w:eastAsia="zh-CN"/>
        </w:rPr>
        <w:t>人才培养：为国家培养并输送各类应用型人才。</w:t>
      </w:r>
    </w:p>
    <w:p w14:paraId="2ADF4FC0">
      <w:pPr>
        <w:pageBreakBefore w:val="0"/>
        <w:widowControl/>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lang w:val="zh-CN" w:eastAsia="zh-CN"/>
        </w:rPr>
      </w:pPr>
      <w:r>
        <w:rPr>
          <w:rFonts w:hint="default" w:ascii="Times New Roman" w:hAnsi="Times New Roman" w:eastAsia="仿宋_GB2312" w:cs="Times New Roman"/>
          <w:sz w:val="32"/>
          <w:szCs w:val="32"/>
          <w:lang w:val="zh-CN" w:eastAsia="zh-CN"/>
        </w:rPr>
        <w:t>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zh-CN" w:eastAsia="zh-CN"/>
        </w:rPr>
        <w:t>科学研究：通过基础研究的理论成果指导国家各项事业的发展，通过应用研究的成果转换为生产力，促进社会发展。</w:t>
      </w:r>
    </w:p>
    <w:p w14:paraId="0A253961">
      <w:pPr>
        <w:pageBreakBefore w:val="0"/>
        <w:widowControl/>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lang w:val="zh-CN" w:eastAsia="zh-CN"/>
        </w:rPr>
      </w:pPr>
      <w:r>
        <w:rPr>
          <w:rFonts w:hint="default" w:ascii="Times New Roman" w:hAnsi="Times New Roman" w:eastAsia="仿宋_GB2312" w:cs="Times New Roman"/>
          <w:sz w:val="32"/>
          <w:szCs w:val="32"/>
          <w:lang w:val="zh-CN" w:eastAsia="zh-CN"/>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zh-CN" w:eastAsia="zh-CN"/>
        </w:rPr>
        <w:t>社会服务：通过校企合作、产学研一体化、开展培训业务等形式多样的服务方式，为地方经济的发展提供助力，为社会发生的问题提供解决办法。</w:t>
      </w:r>
    </w:p>
    <w:p w14:paraId="1537FBC9">
      <w:pPr>
        <w:pageBreakBefore w:val="0"/>
        <w:widowControl/>
        <w:kinsoku/>
        <w:wordWrap/>
        <w:overflowPunct/>
        <w:topLinePunct w:val="0"/>
        <w:autoSpaceDE/>
        <w:autoSpaceDN/>
        <w:bidi w:val="0"/>
        <w:adjustRightInd/>
        <w:snapToGrid/>
        <w:spacing w:beforeAutospacing="0" w:afterAutospacing="0" w:line="580" w:lineRule="exact"/>
        <w:ind w:left="0" w:leftChars="0" w:firstLine="0" w:firstLineChars="0"/>
        <w:jc w:val="both"/>
        <w:textAlignment w:val="auto"/>
        <w:rPr>
          <w:rFonts w:hint="default" w:ascii="Times New Roman" w:hAnsi="Times New Roman" w:eastAsia="仿宋_GB2312" w:cs="Times New Roman"/>
          <w:sz w:val="32"/>
          <w:szCs w:val="32"/>
          <w:lang w:val="zh-CN" w:eastAsia="zh-CN"/>
        </w:rPr>
      </w:pPr>
      <w:r>
        <w:rPr>
          <w:rFonts w:hint="default" w:ascii="Times New Roman" w:hAnsi="Times New Roman" w:eastAsia="仿宋_GB2312" w:cs="Times New Roman"/>
          <w:sz w:val="32"/>
          <w:szCs w:val="32"/>
          <w:lang w:val="zh-CN" w:eastAsia="zh-CN"/>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zh-CN" w:eastAsia="zh-CN"/>
        </w:rPr>
        <w:t>积极推进文化传播，弘扬优秀传统文化，发展先进文化。</w:t>
      </w:r>
    </w:p>
    <w:p w14:paraId="0ADE4B1C">
      <w:pPr>
        <w:pageBreakBefore w:val="0"/>
        <w:widowControl/>
        <w:kinsoku/>
        <w:wordWrap/>
        <w:overflowPunct/>
        <w:topLinePunct w:val="0"/>
        <w:autoSpaceDE/>
        <w:autoSpaceDN/>
        <w:bidi w:val="0"/>
        <w:adjustRightInd/>
        <w:snapToGrid/>
        <w:spacing w:beforeAutospacing="0" w:afterAutospacing="0" w:line="580" w:lineRule="exact"/>
        <w:ind w:left="0" w:leftChars="0" w:firstLine="0" w:firstLineChars="0"/>
        <w:jc w:val="both"/>
        <w:textAlignment w:val="auto"/>
        <w:rPr>
          <w:rFonts w:hint="default" w:ascii="Times New Roman" w:hAnsi="Times New Roman" w:eastAsia="黑体" w:cs="Times New Roman"/>
          <w:b/>
          <w:bCs w:val="0"/>
          <w:kern w:val="44"/>
          <w:sz w:val="32"/>
          <w:szCs w:val="32"/>
          <w:lang w:val="en-US" w:eastAsia="zh-CN" w:bidi="ar-SA"/>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黑体" w:cs="Times New Roman"/>
          <w:b w:val="0"/>
          <w:bCs/>
          <w:kern w:val="44"/>
          <w:sz w:val="32"/>
          <w:szCs w:val="32"/>
          <w:lang w:val="en-US" w:eastAsia="zh-CN" w:bidi="ar-SA"/>
        </w:rPr>
        <w:t>二、部门整体收支情况</w:t>
      </w:r>
    </w:p>
    <w:p w14:paraId="19FE1BDC">
      <w:pPr>
        <w:pStyle w:val="5"/>
        <w:pageBreakBefore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lang w:val="en-US" w:eastAsia="zh-CN"/>
        </w:rPr>
        <w:t>一</w:t>
      </w: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lang w:val="en-US" w:eastAsia="zh-CN"/>
        </w:rPr>
        <w:t>2022年度部门整体收入情况</w:t>
      </w:r>
    </w:p>
    <w:p w14:paraId="22B4E94F">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jc w:val="both"/>
        <w:textAlignment w:val="auto"/>
        <w:rPr>
          <w:rFonts w:hint="default" w:ascii="Times New Roman" w:hAnsi="Times New Roman" w:eastAsia="仿宋_GB2312" w:cs="Times New Roman"/>
          <w:sz w:val="32"/>
          <w:szCs w:val="32"/>
          <w:lang w:eastAsia="zh-CN"/>
        </w:rPr>
      </w:pPr>
      <w:r>
        <w:rPr>
          <w:rFonts w:hint="default" w:ascii="Times New Roman" w:hAnsi="Times New Roman" w:cs="Times New Roman"/>
          <w:b/>
          <w:sz w:val="32"/>
          <w:szCs w:val="32"/>
          <w:lang w:val="en-US" w:eastAsia="zh-CN"/>
        </w:rPr>
        <w:t xml:space="preserve">    </w:t>
      </w:r>
      <w:r>
        <w:rPr>
          <w:rFonts w:hint="default" w:ascii="Times New Roman" w:hAnsi="Times New Roman" w:eastAsia="仿宋_GB2312" w:cs="Times New Roman"/>
          <w:sz w:val="32"/>
          <w:szCs w:val="32"/>
          <w:lang w:eastAsia="zh-CN"/>
        </w:rPr>
        <w:t>财工院</w:t>
      </w:r>
      <w:r>
        <w:rPr>
          <w:rFonts w:hint="default" w:ascii="Times New Roman" w:hAnsi="Times New Roman" w:eastAsia="仿宋_GB2312" w:cs="Times New Roman"/>
          <w:sz w:val="32"/>
          <w:szCs w:val="32"/>
          <w:lang w:val="en-US" w:eastAsia="zh-CN"/>
        </w:rPr>
        <w:t>2022年年初批复的部门预算收入为18,469.67万元，其中：</w:t>
      </w:r>
      <w:r>
        <w:rPr>
          <w:rFonts w:hint="default" w:ascii="Times New Roman" w:hAnsi="Times New Roman" w:eastAsia="仿宋_GB2312" w:cs="Times New Roman"/>
          <w:sz w:val="32"/>
          <w:szCs w:val="32"/>
        </w:rPr>
        <w:t>一般公共预算拨款</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784.73</w:t>
      </w:r>
      <w:r>
        <w:rPr>
          <w:rFonts w:hint="default" w:ascii="Times New Roman" w:hAnsi="Times New Roman" w:eastAsia="仿宋_GB2312" w:cs="Times New Roman"/>
          <w:sz w:val="32"/>
          <w:szCs w:val="32"/>
        </w:rPr>
        <w:t>万元，非税收入拨款</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694.44</w:t>
      </w:r>
      <w:r>
        <w:rPr>
          <w:rFonts w:hint="default" w:ascii="Times New Roman" w:hAnsi="Times New Roman" w:eastAsia="仿宋_GB2312" w:cs="Times New Roman"/>
          <w:sz w:val="32"/>
          <w:szCs w:val="32"/>
        </w:rPr>
        <w:t>万元，其他收入2,</w:t>
      </w:r>
      <w:r>
        <w:rPr>
          <w:rFonts w:hint="default" w:ascii="Times New Roman" w:hAnsi="Times New Roman" w:eastAsia="仿宋_GB2312" w:cs="Times New Roman"/>
          <w:sz w:val="32"/>
          <w:szCs w:val="32"/>
          <w:lang w:val="en-US" w:eastAsia="zh-CN"/>
        </w:rPr>
        <w:t>990.50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p>
    <w:p w14:paraId="78975EBB">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cs="Times New Roman"/>
          <w:sz w:val="32"/>
          <w:szCs w:val="32"/>
          <w:lang w:val="en-US" w:eastAsia="zh-CN"/>
        </w:rPr>
        <w:t>根据</w:t>
      </w:r>
      <w:r>
        <w:rPr>
          <w:rFonts w:hint="default" w:ascii="Times New Roman" w:hAnsi="Times New Roman" w:eastAsia="仿宋_GB2312" w:cs="Times New Roman"/>
          <w:sz w:val="32"/>
          <w:szCs w:val="32"/>
          <w:lang w:eastAsia="zh-CN"/>
        </w:rPr>
        <w:t>财工院</w:t>
      </w:r>
      <w:r>
        <w:rPr>
          <w:rFonts w:hint="default" w:ascii="Times New Roman" w:hAnsi="Times New Roman" w:eastAsia="仿宋_GB2312" w:cs="Times New Roman"/>
          <w:sz w:val="32"/>
          <w:szCs w:val="32"/>
        </w:rPr>
        <w:t>提供的决算报表，202</w:t>
      </w:r>
      <w:r>
        <w:rPr>
          <w:rFonts w:hint="default" w:ascii="Times New Roman" w:hAnsi="Times New Roman"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财工院</w:t>
      </w:r>
      <w:r>
        <w:rPr>
          <w:rFonts w:hint="default" w:ascii="Times New Roman" w:hAnsi="Times New Roman" w:cs="Times New Roman"/>
          <w:sz w:val="32"/>
          <w:szCs w:val="32"/>
          <w:lang w:val="en-US" w:eastAsia="zh-CN"/>
        </w:rPr>
        <w:t>收入</w:t>
      </w:r>
      <w:r>
        <w:rPr>
          <w:rFonts w:hint="default" w:ascii="Times New Roman" w:hAnsi="Times New Roman" w:eastAsia="仿宋_GB2312" w:cs="Times New Roman"/>
          <w:sz w:val="32"/>
          <w:szCs w:val="32"/>
        </w:rPr>
        <w:t>决算数为</w:t>
      </w:r>
      <w:r>
        <w:rPr>
          <w:rFonts w:hint="default" w:ascii="Times New Roman" w:hAnsi="Times New Roman" w:cs="Times New Roman"/>
          <w:sz w:val="32"/>
          <w:szCs w:val="32"/>
          <w:lang w:val="en-US" w:eastAsia="zh-CN"/>
        </w:rPr>
        <w:t>20</w:t>
      </w:r>
      <w:r>
        <w:rPr>
          <w:rFonts w:hint="default" w:ascii="Times New Roman" w:hAnsi="Times New Roman" w:eastAsia="仿宋_GB2312" w:cs="Times New Roman"/>
          <w:sz w:val="32"/>
          <w:szCs w:val="32"/>
          <w:lang w:val="en-US" w:eastAsia="zh-CN"/>
        </w:rPr>
        <w:t>,</w:t>
      </w:r>
      <w:r>
        <w:rPr>
          <w:rFonts w:hint="default" w:ascii="Times New Roman" w:hAnsi="Times New Roman" w:cs="Times New Roman"/>
          <w:sz w:val="32"/>
          <w:szCs w:val="32"/>
          <w:lang w:val="en-US" w:eastAsia="zh-CN"/>
        </w:rPr>
        <w:t>138</w:t>
      </w:r>
      <w:r>
        <w:rPr>
          <w:rFonts w:hint="default" w:ascii="Times New Roman" w:hAnsi="Times New Roman" w:eastAsia="仿宋_GB2312" w:cs="Times New Roman"/>
          <w:sz w:val="32"/>
          <w:szCs w:val="32"/>
          <w:lang w:val="en-US" w:eastAsia="zh-CN"/>
        </w:rPr>
        <w:t>.</w:t>
      </w:r>
      <w:r>
        <w:rPr>
          <w:rFonts w:hint="default" w:ascii="Times New Roman" w:hAnsi="Times New Roman" w:cs="Times New Roman"/>
          <w:sz w:val="32"/>
          <w:szCs w:val="32"/>
          <w:lang w:val="en-US" w:eastAsia="zh-CN"/>
        </w:rPr>
        <w:t>14</w:t>
      </w:r>
      <w:r>
        <w:rPr>
          <w:rFonts w:hint="default" w:ascii="Times New Roman" w:hAnsi="Times New Roman" w:eastAsia="仿宋_GB2312" w:cs="Times New Roman"/>
          <w:sz w:val="32"/>
          <w:szCs w:val="32"/>
          <w:lang w:val="en-US" w:eastAsia="zh-CN"/>
        </w:rPr>
        <w:t>万元，</w:t>
      </w:r>
      <w:r>
        <w:rPr>
          <w:rFonts w:hint="default" w:ascii="Times New Roman" w:hAnsi="Times New Roman" w:cs="Times New Roman"/>
          <w:sz w:val="32"/>
          <w:szCs w:val="32"/>
          <w:lang w:val="en-US" w:eastAsia="zh-CN"/>
        </w:rPr>
        <w:t>其中：</w:t>
      </w:r>
      <w:r>
        <w:rPr>
          <w:rFonts w:hint="default" w:ascii="Times New Roman" w:hAnsi="Times New Roman" w:eastAsia="仿宋_GB2312" w:cs="Times New Roman"/>
          <w:sz w:val="32"/>
          <w:szCs w:val="32"/>
        </w:rPr>
        <w:t>一般公共预算财政拨款收入13,706</w:t>
      </w:r>
      <w:r>
        <w:rPr>
          <w:rFonts w:hint="default" w:ascii="Times New Roman" w:hAnsi="Times New Roman" w:cs="Times New Roman"/>
          <w:sz w:val="32"/>
          <w:szCs w:val="32"/>
          <w:lang w:val="en-US" w:eastAsia="zh-CN"/>
        </w:rPr>
        <w:t>.</w:t>
      </w:r>
      <w:r>
        <w:rPr>
          <w:rFonts w:hint="default" w:ascii="Times New Roman" w:hAnsi="Times New Roman" w:eastAsia="仿宋_GB2312" w:cs="Times New Roman"/>
          <w:sz w:val="32"/>
          <w:szCs w:val="32"/>
        </w:rPr>
        <w:t>6</w:t>
      </w:r>
      <w:r>
        <w:rPr>
          <w:rFonts w:hint="default" w:ascii="Times New Roman" w:hAnsi="Times New Roman" w:cs="Times New Roman"/>
          <w:sz w:val="32"/>
          <w:szCs w:val="32"/>
          <w:lang w:val="en-US" w:eastAsia="zh-CN"/>
        </w:rPr>
        <w:t>5万元，事业收入5,701.92万元，其他收入729.57万元。</w:t>
      </w:r>
    </w:p>
    <w:p w14:paraId="7EA28951">
      <w:pPr>
        <w:pStyle w:val="5"/>
        <w:pageBreakBefore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sz w:val="32"/>
          <w:szCs w:val="32"/>
          <w:lang w:eastAsia="zh-CN"/>
        </w:rPr>
      </w:pP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lang w:val="en-US" w:eastAsia="zh-CN"/>
        </w:rPr>
        <w:t>二</w:t>
      </w: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lang w:val="en-US" w:eastAsia="zh-CN"/>
        </w:rPr>
        <w:t>2022年度部门整体支出情况</w:t>
      </w:r>
    </w:p>
    <w:p w14:paraId="6DAA89D0">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jc w:val="both"/>
        <w:textAlignment w:val="auto"/>
        <w:rPr>
          <w:rFonts w:hint="default" w:ascii="Times New Roman" w:hAnsi="Times New Roman" w:eastAsia="仿宋_GB2312" w:cs="Times New Roman"/>
          <w:sz w:val="32"/>
          <w:szCs w:val="32"/>
          <w:lang w:eastAsia="zh-CN"/>
        </w:rPr>
      </w:pPr>
      <w:r>
        <w:rPr>
          <w:rFonts w:hint="default" w:ascii="Times New Roman" w:hAnsi="Times New Roman" w:cs="Times New Roman"/>
          <w:b/>
          <w:sz w:val="32"/>
          <w:szCs w:val="32"/>
          <w:lang w:val="en-US" w:eastAsia="zh-CN"/>
        </w:rPr>
        <w:t xml:space="preserve">    </w:t>
      </w:r>
      <w:r>
        <w:rPr>
          <w:rFonts w:hint="default" w:ascii="Times New Roman" w:hAnsi="Times New Roman" w:eastAsia="仿宋_GB2312" w:cs="Times New Roman"/>
          <w:sz w:val="32"/>
          <w:szCs w:val="32"/>
          <w:lang w:eastAsia="zh-CN"/>
        </w:rPr>
        <w:t>财工院</w:t>
      </w:r>
      <w:r>
        <w:rPr>
          <w:rFonts w:hint="default" w:ascii="Times New Roman" w:hAnsi="Times New Roman" w:eastAsia="仿宋_GB2312" w:cs="Times New Roman"/>
          <w:sz w:val="32"/>
          <w:szCs w:val="32"/>
          <w:lang w:val="en-US" w:eastAsia="zh-CN"/>
        </w:rPr>
        <w:t>2022年年初批复的部门预算支出为18,469.67万元，按支出性质分类为：基本支出15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769.67</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val="en-US" w:eastAsia="zh-CN"/>
        </w:rPr>
        <w:t>项目支出</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700.00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p>
    <w:p w14:paraId="5651292A">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bCs w:val="0"/>
          <w:kern w:val="2"/>
          <w:sz w:val="32"/>
          <w:szCs w:val="32"/>
          <w:lang w:val="en-US" w:eastAsia="zh-CN" w:bidi="ar-SA"/>
        </w:rPr>
      </w:pPr>
      <w:r>
        <w:rPr>
          <w:rFonts w:hint="default" w:ascii="Times New Roman" w:hAnsi="Times New Roman" w:eastAsia="仿宋_GB2312" w:cs="Times New Roman"/>
          <w:bCs w:val="0"/>
          <w:kern w:val="2"/>
          <w:sz w:val="32"/>
          <w:szCs w:val="32"/>
          <w:lang w:val="en-US" w:eastAsia="zh-CN" w:bidi="ar-SA"/>
        </w:rPr>
        <w:t>根据财工院提供的决算报表，2022年财工院部门整体支出决算数为</w:t>
      </w:r>
      <w:r>
        <w:rPr>
          <w:rFonts w:hint="default" w:ascii="Times New Roman" w:hAnsi="Times New Roman" w:cs="Times New Roman"/>
          <w:sz w:val="32"/>
          <w:szCs w:val="32"/>
          <w:lang w:val="en-US" w:eastAsia="zh-CN"/>
        </w:rPr>
        <w:t>20</w:t>
      </w:r>
      <w:r>
        <w:rPr>
          <w:rFonts w:hint="default" w:ascii="Times New Roman" w:hAnsi="Times New Roman" w:eastAsia="仿宋_GB2312" w:cs="Times New Roman"/>
          <w:sz w:val="32"/>
          <w:szCs w:val="32"/>
          <w:lang w:val="en-US" w:eastAsia="zh-CN"/>
        </w:rPr>
        <w:t>,</w:t>
      </w:r>
      <w:r>
        <w:rPr>
          <w:rFonts w:hint="default" w:ascii="Times New Roman" w:hAnsi="Times New Roman" w:cs="Times New Roman"/>
          <w:sz w:val="32"/>
          <w:szCs w:val="32"/>
          <w:lang w:val="en-US" w:eastAsia="zh-CN"/>
        </w:rPr>
        <w:t>138</w:t>
      </w:r>
      <w:r>
        <w:rPr>
          <w:rFonts w:hint="default" w:ascii="Times New Roman" w:hAnsi="Times New Roman" w:eastAsia="仿宋_GB2312" w:cs="Times New Roman"/>
          <w:sz w:val="32"/>
          <w:szCs w:val="32"/>
          <w:lang w:val="en-US" w:eastAsia="zh-CN"/>
        </w:rPr>
        <w:t>.</w:t>
      </w:r>
      <w:r>
        <w:rPr>
          <w:rFonts w:hint="default" w:ascii="Times New Roman" w:hAnsi="Times New Roman" w:cs="Times New Roman"/>
          <w:sz w:val="32"/>
          <w:szCs w:val="32"/>
          <w:lang w:val="en-US" w:eastAsia="zh-CN"/>
        </w:rPr>
        <w:t>14</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bCs w:val="0"/>
          <w:kern w:val="2"/>
          <w:sz w:val="32"/>
          <w:szCs w:val="32"/>
          <w:lang w:val="en-US" w:eastAsia="zh-CN" w:bidi="ar-SA"/>
        </w:rPr>
        <w:t>，其中：</w:t>
      </w:r>
      <w:r>
        <w:rPr>
          <w:rFonts w:hint="default" w:ascii="Times New Roman" w:hAnsi="Times New Roman" w:eastAsia="仿宋_GB2312" w:cs="Times New Roman"/>
          <w:sz w:val="32"/>
          <w:szCs w:val="32"/>
        </w:rPr>
        <w:t>一般公共预算</w:t>
      </w:r>
      <w:r>
        <w:rPr>
          <w:rFonts w:hint="default" w:ascii="Times New Roman" w:hAnsi="Times New Roman" w:eastAsia="仿宋_GB2312" w:cs="Times New Roman"/>
          <w:sz w:val="32"/>
          <w:szCs w:val="32"/>
          <w:lang w:val="en-US" w:eastAsia="zh-CN"/>
        </w:rPr>
        <w:t>支</w:t>
      </w:r>
      <w:r>
        <w:rPr>
          <w:rFonts w:hint="default" w:ascii="Times New Roman" w:hAnsi="Times New Roman" w:eastAsia="仿宋_GB2312" w:cs="Times New Roman"/>
          <w:bCs w:val="0"/>
          <w:kern w:val="2"/>
          <w:sz w:val="32"/>
          <w:szCs w:val="32"/>
          <w:lang w:val="en-US" w:eastAsia="zh-CN" w:bidi="ar-SA"/>
        </w:rPr>
        <w:t>出13,706.65万元，其他支出6,431.49万元。</w:t>
      </w:r>
    </w:p>
    <w:p w14:paraId="4EACFD2E">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Cs w:val="0"/>
          <w:kern w:val="2"/>
          <w:sz w:val="32"/>
          <w:szCs w:val="32"/>
          <w:lang w:val="en-US" w:eastAsia="zh-CN" w:bidi="ar-SA"/>
        </w:rPr>
        <w:t>部门整体支出</w:t>
      </w:r>
      <w:r>
        <w:rPr>
          <w:rFonts w:hint="default" w:ascii="Times New Roman" w:hAnsi="Times New Roman" w:eastAsia="仿宋_GB2312" w:cs="Times New Roman"/>
          <w:sz w:val="32"/>
          <w:szCs w:val="32"/>
          <w:lang w:val="en-US" w:eastAsia="zh-CN"/>
        </w:rPr>
        <w:t>按支出性质分类为：基本支出17,438.14</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val="en-US" w:eastAsia="zh-CN"/>
        </w:rPr>
        <w:t>项目支出</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700.00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p>
    <w:p w14:paraId="2348A20D">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Cs w:val="0"/>
          <w:kern w:val="2"/>
          <w:sz w:val="32"/>
          <w:szCs w:val="32"/>
          <w:lang w:val="en-US" w:eastAsia="zh-CN" w:bidi="ar-SA"/>
        </w:rPr>
        <w:t>部门整体支出</w:t>
      </w:r>
      <w:r>
        <w:rPr>
          <w:rFonts w:hint="default" w:ascii="Times New Roman" w:hAnsi="Times New Roman" w:eastAsia="仿宋_GB2312" w:cs="Times New Roman"/>
          <w:sz w:val="32"/>
          <w:szCs w:val="32"/>
          <w:lang w:val="en-US" w:eastAsia="zh-CN"/>
        </w:rPr>
        <w:t>按支出经济分类为：工资福利支出10,624.74万元，商品和服务支出5,689.14万元，对个人和家庭的补助2,335.67万元，债务利息及费用支出1,200.00万元，资本性支出288.59万元。</w:t>
      </w:r>
      <w:bookmarkEnd w:id="2"/>
    </w:p>
    <w:p w14:paraId="2CDB943A">
      <w:pPr>
        <w:pageBreakBefore w:val="0"/>
        <w:widowControl/>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黑体" w:cs="Times New Roman"/>
          <w:b w:val="0"/>
          <w:bCs/>
          <w:kern w:val="44"/>
          <w:sz w:val="32"/>
          <w:szCs w:val="32"/>
          <w:lang w:val="en-US" w:eastAsia="zh-CN" w:bidi="ar-SA"/>
        </w:rPr>
      </w:pPr>
      <w:r>
        <w:rPr>
          <w:rFonts w:hint="default" w:ascii="Times New Roman" w:hAnsi="Times New Roman" w:eastAsia="黑体" w:cs="Times New Roman"/>
          <w:b w:val="0"/>
          <w:bCs/>
          <w:kern w:val="44"/>
          <w:sz w:val="32"/>
          <w:szCs w:val="32"/>
          <w:lang w:val="en-US" w:eastAsia="zh-CN" w:bidi="ar-SA"/>
        </w:rPr>
        <w:t>三、一般公共预算支出情况</w:t>
      </w:r>
    </w:p>
    <w:p w14:paraId="025B0A21">
      <w:pPr>
        <w:pStyle w:val="5"/>
        <w:pageBreakBefore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sz w:val="32"/>
          <w:szCs w:val="32"/>
          <w:lang w:val="en-US" w:eastAsia="zh-CN"/>
        </w:rPr>
      </w:pPr>
      <w:bookmarkStart w:id="3" w:name="_Toc79571963"/>
      <w:r>
        <w:rPr>
          <w:rFonts w:hint="eastAsia" w:ascii="楷体_GB2312" w:hAnsi="楷体_GB2312" w:eastAsia="楷体_GB2312" w:cs="楷体_GB2312"/>
          <w:b/>
          <w:sz w:val="32"/>
          <w:szCs w:val="32"/>
        </w:rPr>
        <w:t>（一）基本支出</w:t>
      </w:r>
      <w:bookmarkEnd w:id="3"/>
      <w:r>
        <w:rPr>
          <w:rFonts w:hint="eastAsia" w:ascii="楷体_GB2312" w:hAnsi="楷体_GB2312" w:eastAsia="楷体_GB2312" w:cs="楷体_GB2312"/>
          <w:b/>
          <w:sz w:val="32"/>
          <w:szCs w:val="32"/>
          <w:lang w:val="en-US" w:eastAsia="zh-CN"/>
        </w:rPr>
        <w:t>情况</w:t>
      </w:r>
    </w:p>
    <w:p w14:paraId="7F740298">
      <w:pPr>
        <w:pageBreakBefore w:val="0"/>
        <w:kinsoku/>
        <w:wordWrap/>
        <w:overflowPunct/>
        <w:topLinePunct w:val="0"/>
        <w:autoSpaceDE/>
        <w:autoSpaceDN/>
        <w:bidi w:val="0"/>
        <w:adjustRightInd/>
        <w:snapToGrid/>
        <w:spacing w:beforeAutospacing="0" w:afterAutospacing="0" w:line="580" w:lineRule="exact"/>
        <w:ind w:left="0" w:leftChars="0" w:firstLine="641"/>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2022年度财工院</w:t>
      </w:r>
      <w:r>
        <w:rPr>
          <w:rFonts w:hint="default" w:ascii="Times New Roman" w:hAnsi="Times New Roman" w:eastAsia="仿宋_GB2312" w:cs="Times New Roman"/>
          <w:sz w:val="32"/>
          <w:szCs w:val="32"/>
          <w:lang w:val="en-US" w:eastAsia="zh-CN"/>
        </w:rPr>
        <w:t>一般</w:t>
      </w:r>
      <w:r>
        <w:rPr>
          <w:rFonts w:hint="default" w:ascii="Times New Roman" w:hAnsi="Times New Roman" w:eastAsia="仿宋_GB2312" w:cs="Times New Roman"/>
          <w:sz w:val="32"/>
          <w:szCs w:val="32"/>
        </w:rPr>
        <w:t>公共预算</w:t>
      </w:r>
      <w:r>
        <w:rPr>
          <w:rFonts w:hint="default" w:ascii="Times New Roman" w:hAnsi="Times New Roman" w:eastAsia="仿宋_GB2312" w:cs="Times New Roman"/>
          <w:sz w:val="32"/>
          <w:szCs w:val="32"/>
          <w:lang w:val="en-US" w:eastAsia="zh-CN"/>
        </w:rPr>
        <w:t>支</w:t>
      </w:r>
      <w:r>
        <w:rPr>
          <w:rFonts w:hint="default" w:ascii="Times New Roman" w:hAnsi="Times New Roman" w:eastAsia="仿宋_GB2312" w:cs="Times New Roman"/>
          <w:bCs w:val="0"/>
          <w:kern w:val="2"/>
          <w:sz w:val="32"/>
          <w:szCs w:val="32"/>
          <w:lang w:val="en-US" w:eastAsia="zh-CN" w:bidi="ar-SA"/>
        </w:rPr>
        <w:t>出中基本支出12,706.65万元，</w:t>
      </w:r>
      <w:r>
        <w:rPr>
          <w:rFonts w:hint="default" w:ascii="Times New Roman" w:hAnsi="Times New Roman" w:eastAsia="仿宋_GB2312" w:cs="Times New Roman"/>
          <w:sz w:val="32"/>
          <w:szCs w:val="32"/>
        </w:rPr>
        <w:t>基本支出主要是为保障单位正常运转、完成日常工作任务而发生的各项支出。包括在职人员的基本工资、津贴补贴、各类奖金、社保以及办公费、水电费、物业管理费、其他商品和服务支出等日常公用经费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Cs w:val="0"/>
          <w:kern w:val="2"/>
          <w:sz w:val="32"/>
          <w:szCs w:val="32"/>
          <w:lang w:val="en-US" w:eastAsia="zh-CN" w:bidi="ar-SA"/>
        </w:rPr>
        <w:t>其中人员经费10,674.74万元，公用经费2,031.91万元。</w:t>
      </w:r>
    </w:p>
    <w:p w14:paraId="0EBA8439">
      <w:pPr>
        <w:pStyle w:val="5"/>
        <w:pageBreakBefore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（二）项目支出</w:t>
      </w:r>
    </w:p>
    <w:p w14:paraId="27C94744">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2022年度财工院</w:t>
      </w:r>
      <w:r>
        <w:rPr>
          <w:rFonts w:hint="default" w:ascii="Times New Roman" w:hAnsi="Times New Roman" w:eastAsia="仿宋_GB2312" w:cs="Times New Roman"/>
          <w:sz w:val="32"/>
          <w:szCs w:val="32"/>
          <w:lang w:val="en-US" w:eastAsia="zh-CN"/>
        </w:rPr>
        <w:t>一般</w:t>
      </w:r>
      <w:r>
        <w:rPr>
          <w:rFonts w:hint="default" w:ascii="Times New Roman" w:hAnsi="Times New Roman" w:eastAsia="仿宋_GB2312" w:cs="Times New Roman"/>
          <w:sz w:val="32"/>
          <w:szCs w:val="32"/>
        </w:rPr>
        <w:t>公共预算</w:t>
      </w:r>
      <w:r>
        <w:rPr>
          <w:rFonts w:hint="default" w:ascii="Times New Roman" w:hAnsi="Times New Roman" w:eastAsia="仿宋_GB2312" w:cs="Times New Roman"/>
          <w:sz w:val="32"/>
          <w:szCs w:val="32"/>
          <w:lang w:val="en-US" w:eastAsia="zh-CN"/>
        </w:rPr>
        <w:t>支</w:t>
      </w:r>
      <w:r>
        <w:rPr>
          <w:rFonts w:hint="default" w:ascii="Times New Roman" w:hAnsi="Times New Roman" w:eastAsia="仿宋_GB2312" w:cs="Times New Roman"/>
          <w:bCs w:val="0"/>
          <w:kern w:val="2"/>
          <w:sz w:val="32"/>
          <w:szCs w:val="32"/>
          <w:lang w:val="en-US" w:eastAsia="zh-CN" w:bidi="ar-SA"/>
        </w:rPr>
        <w:t>出中</w:t>
      </w:r>
      <w:r>
        <w:rPr>
          <w:rFonts w:hint="default" w:ascii="Times New Roman" w:hAnsi="Times New Roman" w:eastAsia="仿宋_GB2312" w:cs="Times New Roman"/>
          <w:sz w:val="32"/>
          <w:szCs w:val="32"/>
        </w:rPr>
        <w:t>项目支出</w:t>
      </w:r>
      <w:r>
        <w:rPr>
          <w:rFonts w:hint="default" w:ascii="Times New Roman" w:hAnsi="Times New Roman" w:eastAsia="仿宋_GB2312" w:cs="Times New Roman"/>
          <w:bCs w:val="0"/>
          <w:kern w:val="2"/>
          <w:sz w:val="32"/>
          <w:szCs w:val="32"/>
          <w:lang w:val="en-US" w:eastAsia="zh-CN" w:bidi="ar-SA"/>
        </w:rPr>
        <w:t>1,000.00万元，</w:t>
      </w:r>
      <w:r>
        <w:rPr>
          <w:rFonts w:hint="default" w:ascii="Times New Roman" w:hAnsi="Times New Roman" w:eastAsia="仿宋" w:cs="Times New Roman"/>
          <w:color w:val="000000"/>
          <w:sz w:val="32"/>
          <w:szCs w:val="32"/>
          <w:lang w:val="en-US" w:eastAsia="zh-CN"/>
        </w:rPr>
        <w:t>为</w:t>
      </w:r>
      <w:r>
        <w:rPr>
          <w:rFonts w:hint="default" w:ascii="Times New Roman" w:hAnsi="Times New Roman" w:eastAsia="仿宋" w:cs="Times New Roman"/>
          <w:color w:val="000000"/>
          <w:sz w:val="32"/>
          <w:szCs w:val="32"/>
          <w:lang w:eastAsia="zh-CN"/>
        </w:rPr>
        <w:t>生均经费，</w:t>
      </w:r>
      <w:r>
        <w:rPr>
          <w:rFonts w:hint="default" w:ascii="Times New Roman" w:hAnsi="Times New Roman" w:eastAsia="仿宋" w:cs="Times New Roman"/>
          <w:color w:val="000000"/>
          <w:sz w:val="32"/>
          <w:szCs w:val="32"/>
        </w:rPr>
        <w:t>用于</w:t>
      </w:r>
      <w:r>
        <w:rPr>
          <w:rFonts w:hint="default" w:ascii="Times New Roman" w:hAnsi="Times New Roman" w:eastAsia="仿宋" w:cs="Times New Roman"/>
          <w:color w:val="000000"/>
          <w:sz w:val="32"/>
          <w:szCs w:val="32"/>
          <w:lang w:eastAsia="zh-CN"/>
        </w:rPr>
        <w:t>学院日常教育教学支出。</w:t>
      </w:r>
    </w:p>
    <w:p w14:paraId="7B74AE8D">
      <w:pPr>
        <w:pStyle w:val="4"/>
        <w:pageBreakBefore w:val="0"/>
        <w:kinsoku/>
        <w:wordWrap/>
        <w:overflowPunct/>
        <w:topLinePunct w:val="0"/>
        <w:autoSpaceDE/>
        <w:autoSpaceDN/>
        <w:bidi w:val="0"/>
        <w:adjustRightInd/>
        <w:snapToGrid/>
        <w:spacing w:beforeAutospacing="0" w:afterAutospacing="0" w:line="580" w:lineRule="exact"/>
        <w:ind w:left="0" w:leftChars="0" w:firstLine="640"/>
        <w:jc w:val="both"/>
        <w:textAlignment w:val="auto"/>
        <w:rPr>
          <w:rFonts w:hint="default" w:ascii="Times New Roman" w:hAnsi="Times New Roman" w:eastAsia="黑体" w:cs="Times New Roman"/>
          <w:b w:val="0"/>
          <w:bCs/>
          <w:sz w:val="32"/>
          <w:szCs w:val="32"/>
        </w:rPr>
      </w:pPr>
      <w:bookmarkStart w:id="4" w:name="_Toc14927"/>
      <w:bookmarkStart w:id="5" w:name="_Toc15684"/>
      <w:bookmarkStart w:id="6" w:name="_Toc79571967"/>
      <w:r>
        <w:rPr>
          <w:rFonts w:hint="default" w:ascii="Times New Roman" w:hAnsi="Times New Roman" w:eastAsia="黑体" w:cs="Times New Roman"/>
          <w:b w:val="0"/>
          <w:bCs/>
          <w:sz w:val="32"/>
          <w:szCs w:val="32"/>
        </w:rPr>
        <w:t>四、</w:t>
      </w:r>
      <w:r>
        <w:rPr>
          <w:rFonts w:hint="default" w:ascii="Times New Roman" w:hAnsi="Times New Roman" w:eastAsia="黑体" w:cs="Times New Roman"/>
          <w:b w:val="0"/>
          <w:bCs/>
          <w:sz w:val="32"/>
          <w:szCs w:val="32"/>
        </w:rPr>
        <w:fldChar w:fldCharType="begin"/>
      </w:r>
      <w:r>
        <w:rPr>
          <w:rFonts w:hint="default" w:ascii="Times New Roman" w:hAnsi="Times New Roman" w:eastAsia="黑体" w:cs="Times New Roman"/>
          <w:b w:val="0"/>
          <w:bCs/>
          <w:sz w:val="32"/>
          <w:szCs w:val="32"/>
        </w:rPr>
        <w:instrText xml:space="preserve"> HYPERLINK "http://www.fgw.yngov/editor/editor/fckblank.html" \l "_Toc434746189" </w:instrText>
      </w:r>
      <w:r>
        <w:rPr>
          <w:rFonts w:hint="default" w:ascii="Times New Roman" w:hAnsi="Times New Roman" w:eastAsia="黑体" w:cs="Times New Roman"/>
          <w:b w:val="0"/>
          <w:bCs/>
          <w:sz w:val="32"/>
          <w:szCs w:val="32"/>
        </w:rPr>
        <w:fldChar w:fldCharType="separate"/>
      </w:r>
      <w:r>
        <w:rPr>
          <w:rFonts w:hint="default" w:ascii="Times New Roman" w:hAnsi="Times New Roman" w:eastAsia="黑体" w:cs="Times New Roman"/>
          <w:b w:val="0"/>
          <w:bCs/>
          <w:sz w:val="32"/>
          <w:szCs w:val="32"/>
        </w:rPr>
        <w:t>部门绩效</w:t>
      </w:r>
      <w:r>
        <w:rPr>
          <w:rFonts w:hint="default" w:ascii="Times New Roman" w:hAnsi="Times New Roman" w:eastAsia="黑体" w:cs="Times New Roman"/>
          <w:b w:val="0"/>
          <w:bCs/>
          <w:sz w:val="32"/>
          <w:szCs w:val="32"/>
        </w:rPr>
        <w:fldChar w:fldCharType="end"/>
      </w:r>
      <w:bookmarkEnd w:id="4"/>
      <w:r>
        <w:rPr>
          <w:rFonts w:hint="default" w:ascii="Times New Roman" w:hAnsi="Times New Roman" w:eastAsia="黑体" w:cs="Times New Roman"/>
          <w:b w:val="0"/>
          <w:bCs/>
          <w:sz w:val="32"/>
          <w:szCs w:val="32"/>
        </w:rPr>
        <w:t>目标</w:t>
      </w:r>
      <w:bookmarkEnd w:id="5"/>
      <w:bookmarkEnd w:id="6"/>
    </w:p>
    <w:p w14:paraId="039BD48A">
      <w:pPr>
        <w:pStyle w:val="5"/>
        <w:keepNext w:val="0"/>
        <w:keepLines w:val="0"/>
        <w:pageBreakBefore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default" w:ascii="Times New Roman" w:hAnsi="Times New Roman" w:eastAsia="楷体" w:cs="Times New Roman"/>
          <w:b/>
          <w:sz w:val="32"/>
          <w:szCs w:val="32"/>
        </w:rPr>
      </w:pPr>
      <w:bookmarkStart w:id="7" w:name="_Toc79571968"/>
      <w:r>
        <w:rPr>
          <w:rFonts w:hint="default" w:ascii="Times New Roman" w:hAnsi="Times New Roman" w:eastAsia="楷体" w:cs="Times New Roman"/>
          <w:b/>
          <w:sz w:val="32"/>
          <w:szCs w:val="32"/>
        </w:rPr>
        <w:t>（一）</w:t>
      </w:r>
      <w:bookmarkEnd w:id="7"/>
      <w:r>
        <w:rPr>
          <w:rFonts w:hint="default" w:ascii="Times New Roman" w:hAnsi="Times New Roman" w:eastAsia="楷体" w:cs="Times New Roman"/>
          <w:b/>
          <w:sz w:val="32"/>
          <w:szCs w:val="32"/>
        </w:rPr>
        <w:t>部门绩效总目标</w:t>
      </w:r>
    </w:p>
    <w:p w14:paraId="37B3FDD4">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推进“人才强校”。完善引才、扶才、育才、优才机制，全面加强高层次人才、高水平教师教学创新团队、高水平科技创新服务团队、名师（大师）工作室、青年骨干教师、“双师型”教师、企业兼职教师等人才队伍建设。</w:t>
      </w:r>
    </w:p>
    <w:p w14:paraId="080DC054">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实现瓶颈突破。聚焦于教师教学能力大赛、学生职业技能大赛与创新创业大赛、教学成果奖、就业创业典型、职教集团、教学创新团队、教学名师、教学资源库、重点专业（群）等国家级</w:t>
      </w:r>
      <w:r>
        <w:rPr>
          <w:rFonts w:hint="default" w:ascii="Times New Roman" w:hAnsi="Times New Roman" w:eastAsia="仿宋_GB2312" w:cs="Times New Roman"/>
          <w:sz w:val="32"/>
          <w:szCs w:val="32"/>
          <w:lang w:eastAsia="zh-CN"/>
        </w:rPr>
        <w:t>、省级</w:t>
      </w:r>
      <w:r>
        <w:rPr>
          <w:rFonts w:hint="default" w:ascii="Times New Roman" w:hAnsi="Times New Roman" w:eastAsia="仿宋_GB2312" w:cs="Times New Roman"/>
          <w:sz w:val="32"/>
          <w:szCs w:val="32"/>
        </w:rPr>
        <w:t>项目与荣誉，重点突破制约学院提升办学层次的“掐脖子”指标，实现个别重点突破与整体规模提升，推动学院高质量发展。</w:t>
      </w:r>
    </w:p>
    <w:p w14:paraId="2B5F3559">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提升主要指标。按照全日制在校生12000人以内的规模，对照高职本科学院办学标准，优化校园占地面积、校园建筑面积、教学仪器设备和馆藏图书等主要办学硬件指标，下力气推进智慧校园建设。</w:t>
      </w:r>
    </w:p>
    <w:p w14:paraId="3A01E1CB">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加快科技创新。聚焦于</w:t>
      </w:r>
      <w:r>
        <w:rPr>
          <w:rFonts w:hint="default" w:ascii="Times New Roman" w:hAnsi="Times New Roman" w:eastAsia="仿宋_GB2312" w:cs="Times New Roman"/>
          <w:sz w:val="32"/>
          <w:szCs w:val="32"/>
          <w:lang w:eastAsia="zh-CN"/>
        </w:rPr>
        <w:t>省</w:t>
      </w:r>
      <w:r>
        <w:rPr>
          <w:rFonts w:hint="default" w:ascii="Times New Roman" w:hAnsi="Times New Roman" w:eastAsia="仿宋_GB2312" w:cs="Times New Roman"/>
          <w:sz w:val="32"/>
          <w:szCs w:val="32"/>
        </w:rPr>
        <w:t>级科研平台、</w:t>
      </w:r>
      <w:r>
        <w:rPr>
          <w:rFonts w:hint="default" w:ascii="Times New Roman" w:hAnsi="Times New Roman" w:eastAsia="仿宋_GB2312" w:cs="Times New Roman"/>
          <w:sz w:val="32"/>
          <w:szCs w:val="32"/>
          <w:lang w:eastAsia="zh-CN"/>
        </w:rPr>
        <w:t>省</w:t>
      </w:r>
      <w:r>
        <w:rPr>
          <w:rFonts w:hint="default" w:ascii="Times New Roman" w:hAnsi="Times New Roman" w:eastAsia="仿宋_GB2312" w:cs="Times New Roman"/>
          <w:sz w:val="32"/>
          <w:szCs w:val="32"/>
        </w:rPr>
        <w:t>级科研项目、横向课题、成果转化、科技领军人才和科技创新团队，全面提升学院科技创新和成果转化能力。</w:t>
      </w:r>
    </w:p>
    <w:p w14:paraId="08953FE5">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打造服务品牌。立足于我院专业特色，聚焦于乡村振兴，通过职业培训、继续教育、科技服务等方式，显著提升社会服务能力，打造服务乡村振兴品牌。</w:t>
      </w:r>
    </w:p>
    <w:p w14:paraId="12D610E5">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提升文化品质。聚焦吃苦耐劳、敢拼敢闯的品质，从精神文化、制度文化、行为文化、环境文化等方面，全面提升校园文化软实力。</w:t>
      </w:r>
    </w:p>
    <w:p w14:paraId="6329CBE1">
      <w:pPr>
        <w:pStyle w:val="5"/>
        <w:keepNext w:val="0"/>
        <w:keepLines w:val="0"/>
        <w:pageBreakBefore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sz w:val="32"/>
          <w:szCs w:val="32"/>
        </w:rPr>
      </w:pPr>
      <w:bookmarkStart w:id="8" w:name="_Toc79571969"/>
      <w:r>
        <w:rPr>
          <w:rFonts w:hint="eastAsia" w:ascii="楷体_GB2312" w:hAnsi="楷体_GB2312" w:eastAsia="楷体_GB2312" w:cs="楷体_GB2312"/>
          <w:b/>
          <w:sz w:val="32"/>
          <w:szCs w:val="32"/>
        </w:rPr>
        <w:t>（二）</w:t>
      </w:r>
      <w:bookmarkEnd w:id="8"/>
      <w:bookmarkStart w:id="9" w:name="_Toc79571970"/>
      <w:r>
        <w:rPr>
          <w:rFonts w:hint="eastAsia" w:ascii="楷体_GB2312" w:hAnsi="楷体_GB2312" w:eastAsia="楷体_GB2312" w:cs="楷体_GB2312"/>
          <w:b/>
          <w:sz w:val="32"/>
          <w:szCs w:val="32"/>
        </w:rPr>
        <w:t>部门整体支出绩效目标</w:t>
      </w:r>
      <w:bookmarkEnd w:id="9"/>
    </w:p>
    <w:p w14:paraId="0D20B151">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bookmarkStart w:id="10" w:name="_Toc79571971"/>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完成招生计划；</w:t>
      </w:r>
    </w:p>
    <w:p w14:paraId="791ACC43">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改善办学软硬件条件；</w:t>
      </w:r>
    </w:p>
    <w:p w14:paraId="6331765A">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提升教育教学质量；</w:t>
      </w:r>
    </w:p>
    <w:p w14:paraId="038B5B37">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提升毕业生就业率及就业质量；</w:t>
      </w:r>
    </w:p>
    <w:p w14:paraId="41AC3796">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提升科研水平；</w:t>
      </w:r>
    </w:p>
    <w:p w14:paraId="0DD917F6">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完成双一流建设目标；</w:t>
      </w:r>
    </w:p>
    <w:p w14:paraId="588E100E">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提升专业建设能力；</w:t>
      </w:r>
    </w:p>
    <w:p w14:paraId="3E1126C7">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持续开展并深化教育教学改革；</w:t>
      </w:r>
    </w:p>
    <w:p w14:paraId="4CE953ED">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提升学院综合治理能力；</w:t>
      </w:r>
    </w:p>
    <w:p w14:paraId="2F76034F">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提升师资队伍质量；</w:t>
      </w:r>
    </w:p>
    <w:p w14:paraId="59E951FE">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提升社会服务能力；</w:t>
      </w:r>
    </w:p>
    <w:p w14:paraId="285A2383">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加强疫情防控，严控疫情感染及传播风险。</w:t>
      </w:r>
    </w:p>
    <w:p w14:paraId="7179F053">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rPr>
        <w:t>五、部门</w:t>
      </w:r>
      <w:bookmarkEnd w:id="10"/>
      <w:bookmarkStart w:id="11" w:name="_Toc79571972"/>
      <w:r>
        <w:rPr>
          <w:rFonts w:hint="default" w:ascii="Times New Roman" w:hAnsi="Times New Roman" w:eastAsia="黑体" w:cs="Times New Roman"/>
          <w:b w:val="0"/>
          <w:bCs w:val="0"/>
          <w:sz w:val="32"/>
          <w:szCs w:val="32"/>
          <w:lang w:val="en-US" w:eastAsia="zh-CN"/>
        </w:rPr>
        <w:t>整体支出绩效情况</w:t>
      </w:r>
    </w:p>
    <w:p w14:paraId="6A4207B4">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本次评价采用三级细化指标评分，从财工院部门整体支出的投入情况、过程管理、产出与效益等维度的绩效指标分析出发，通过定性与定量相结合的方式，综合考察财工院2022年度部门整体支出资金使用效益及部门职能职责履行情况等，得出绩效评价综合结论。</w:t>
      </w:r>
    </w:p>
    <w:p w14:paraId="637435CF">
      <w:pPr>
        <w:pStyle w:val="5"/>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（一）投入情况</w:t>
      </w:r>
    </w:p>
    <w:p w14:paraId="2E038E71">
      <w:pPr>
        <w:pageBreakBefore w:val="0"/>
        <w:numPr>
          <w:ilvl w:val="0"/>
          <w:numId w:val="0"/>
        </w:numPr>
        <w:kinsoku/>
        <w:wordWrap/>
        <w:overflowPunct/>
        <w:topLinePunct w:val="0"/>
        <w:autoSpaceDE/>
        <w:autoSpaceDN/>
        <w:bidi w:val="0"/>
        <w:adjustRightInd/>
        <w:snapToGrid/>
        <w:spacing w:beforeAutospacing="0" w:afterAutospacing="0" w:line="580" w:lineRule="exact"/>
        <w:ind w:left="0" w:leftChars="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cs="Times New Roman"/>
          <w:sz w:val="32"/>
          <w:szCs w:val="32"/>
          <w:lang w:val="en-US" w:eastAsia="zh-CN"/>
        </w:rPr>
        <w:t xml:space="preserve">    </w:t>
      </w:r>
      <w:r>
        <w:rPr>
          <w:rFonts w:hint="default" w:ascii="Times New Roman" w:hAnsi="Times New Roman" w:eastAsia="仿宋_GB2312" w:cs="Times New Roman"/>
          <w:kern w:val="2"/>
          <w:sz w:val="32"/>
          <w:szCs w:val="32"/>
          <w:lang w:val="en-US" w:eastAsia="zh-CN" w:bidi="ar-SA"/>
        </w:rPr>
        <w:t>该维度下分别设置 “目标设定”“预算配置”2个二级指标；绩效目标合理性、绩效指标明确性、在职人员控制率、“三公经费”变动率4个三级指标进行评价。主要评价财工院的绩效目标设置是否指向明确、具体细化、合理可行；预算配置是否符合财</w:t>
      </w:r>
    </w:p>
    <w:p w14:paraId="658DB79F">
      <w:pPr>
        <w:pageBreakBefore w:val="0"/>
        <w:numPr>
          <w:ilvl w:val="0"/>
          <w:numId w:val="0"/>
        </w:numPr>
        <w:kinsoku/>
        <w:wordWrap/>
        <w:overflowPunct/>
        <w:topLinePunct w:val="0"/>
        <w:autoSpaceDE/>
        <w:autoSpaceDN/>
        <w:bidi w:val="0"/>
        <w:adjustRightInd/>
        <w:snapToGrid/>
        <w:spacing w:beforeAutospacing="0" w:afterAutospacing="0" w:line="580" w:lineRule="exact"/>
        <w:ind w:left="0" w:leftChars="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政部门相关要求；人员配置是否合理等。</w:t>
      </w:r>
    </w:p>
    <w:p w14:paraId="22ED744C">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1.目标设定（满分6分，得分6分）</w:t>
      </w:r>
    </w:p>
    <w:p w14:paraId="1A908B7A">
      <w:pPr>
        <w:pageBreakBefore w:val="0"/>
        <w:numPr>
          <w:ilvl w:val="0"/>
          <w:numId w:val="0"/>
        </w:numPr>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（1）绩效目标合理性</w:t>
      </w:r>
    </w:p>
    <w:p w14:paraId="705A2907">
      <w:pPr>
        <w:pageBreakBefore w:val="0"/>
        <w:numPr>
          <w:ilvl w:val="0"/>
          <w:numId w:val="0"/>
        </w:numPr>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财工院整体绩效目标符合国家法律法规、国家经济和社会发展总体规划；符合学院“三定”方案确定的职责；符合部门制定的中长期实施规划，绩效目标设置合理。</w:t>
      </w:r>
    </w:p>
    <w:p w14:paraId="0F17247B">
      <w:pPr>
        <w:pageBreakBefore w:val="0"/>
        <w:numPr>
          <w:ilvl w:val="0"/>
          <w:numId w:val="0"/>
        </w:numPr>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（2）绩效指标明确性</w:t>
      </w:r>
    </w:p>
    <w:p w14:paraId="320755B8">
      <w:pPr>
        <w:pageBreakBefore w:val="0"/>
        <w:numPr>
          <w:ilvl w:val="0"/>
          <w:numId w:val="0"/>
        </w:numPr>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eastAsia="仿宋_GB2312" w:cs="Times New Roman"/>
          <w:kern w:val="2"/>
          <w:sz w:val="32"/>
          <w:szCs w:val="32"/>
          <w:lang w:val="en-US" w:eastAsia="zh-CN" w:bidi="ar-SA"/>
        </w:rPr>
        <w:t>财工院整体绩效目标细化分解成了各项具体的工作任务，包括中长期目标及年度绩效目标，绩效指标设置明确。</w:t>
      </w:r>
    </w:p>
    <w:p w14:paraId="04B40330">
      <w:pPr>
        <w:pageBreakBefore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2.预算配置（满分4分，得分4分）</w:t>
      </w:r>
    </w:p>
    <w:p w14:paraId="3E38031C">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（1）在职人员控制率</w:t>
      </w:r>
    </w:p>
    <w:p w14:paraId="36586826">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2022年底，</w:t>
      </w: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在编在岗542人，</w:t>
      </w:r>
      <w:r>
        <w:rPr>
          <w:rFonts w:hint="default" w:ascii="Times New Roman" w:hAnsi="Times New Roman" w:cs="Times New Roman"/>
          <w:sz w:val="32"/>
          <w:szCs w:val="32"/>
          <w:lang w:val="en-US" w:eastAsia="zh-CN"/>
        </w:rPr>
        <w:t>核定的</w:t>
      </w:r>
      <w:r>
        <w:rPr>
          <w:rFonts w:hint="default" w:ascii="Times New Roman" w:hAnsi="Times New Roman" w:cs="Times New Roman"/>
          <w:sz w:val="32"/>
          <w:szCs w:val="32"/>
        </w:rPr>
        <w:t>编制数755人，在职人员控制率71.79%。</w:t>
      </w:r>
    </w:p>
    <w:p w14:paraId="6DCB7E65">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（2）“三公经费”变动率</w:t>
      </w:r>
    </w:p>
    <w:p w14:paraId="6ECF78EA">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2021年度“三公经费”预算数为66万元，2022年度“三公经费”预算数为54万元，“三公经费”变动率为-18.18%。</w:t>
      </w:r>
    </w:p>
    <w:p w14:paraId="557E78DE">
      <w:pPr>
        <w:pageBreakBefore w:val="0"/>
        <w:widowControl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小结：“投入情况”维度满分10分，实际得分10分。</w:t>
      </w:r>
    </w:p>
    <w:p w14:paraId="44E23C87">
      <w:pPr>
        <w:pStyle w:val="5"/>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（二）过程情况</w:t>
      </w:r>
    </w:p>
    <w:p w14:paraId="48791426">
      <w:pPr>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分别设置“预算执行”“预算管理”“资产管理”3 个二级指标；预算完成率、预算调整率、支付进度率、结转结余变动率、公用经费控制率、“三公经费”控制率、政府采购节资率、政府采购执行率、预算管理制度健全性、资金使用合规性、预决算信息公开性、基础信息完善性、资产管理制度健全性、资产管理安全性、固定资产利用率15个三级指标进行评价。主要评价财工院在预算执行过程中相关管理制度是否建立健全，各项制度和预算是否得到有效执行等。</w:t>
      </w:r>
    </w:p>
    <w:p w14:paraId="3C0C01F0">
      <w:pPr>
        <w:pageBreakBefore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1.预算执行方面</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楷体" w:cs="Times New Roman"/>
          <w:b/>
          <w:bCs/>
          <w:kern w:val="2"/>
          <w:sz w:val="32"/>
          <w:szCs w:val="32"/>
          <w:lang w:val="en-US" w:eastAsia="zh-CN" w:bidi="ar-SA"/>
        </w:rPr>
        <w:t>满分15分，得分11.4分）</w:t>
      </w:r>
    </w:p>
    <w:p w14:paraId="7EA97651">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（1）预算完成率</w:t>
      </w:r>
    </w:p>
    <w:p w14:paraId="2F7063AB">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2022年度</w:t>
      </w:r>
      <w:r>
        <w:rPr>
          <w:rFonts w:hint="default" w:ascii="Times New Roman" w:hAnsi="Times New Roman" w:cs="Times New Roman"/>
          <w:sz w:val="32"/>
          <w:szCs w:val="32"/>
          <w:lang w:val="en-US" w:eastAsia="zh-CN"/>
        </w:rPr>
        <w:t>财工院在</w:t>
      </w:r>
      <w:r>
        <w:rPr>
          <w:rFonts w:hint="default" w:ascii="Times New Roman" w:hAnsi="Times New Roman" w:cs="Times New Roman"/>
          <w:color w:val="auto"/>
          <w:sz w:val="32"/>
          <w:szCs w:val="32"/>
          <w:lang w:val="en-US" w:eastAsia="zh-CN"/>
        </w:rPr>
        <w:t>财政预算指标系统中</w:t>
      </w:r>
      <w:r>
        <w:rPr>
          <w:rFonts w:hint="default" w:ascii="Times New Roman" w:hAnsi="Times New Roman" w:cs="Times New Roman"/>
          <w:sz w:val="32"/>
          <w:szCs w:val="32"/>
        </w:rPr>
        <w:t>调整后的预算指标支出为21</w:t>
      </w:r>
      <w:r>
        <w:rPr>
          <w:rFonts w:hint="default" w:ascii="Times New Roman" w:hAnsi="Times New Roman" w:cs="Times New Roman"/>
          <w:sz w:val="32"/>
          <w:szCs w:val="32"/>
          <w:lang w:val="en-US" w:eastAsia="zh-CN"/>
        </w:rPr>
        <w:t>,</w:t>
      </w:r>
      <w:r>
        <w:rPr>
          <w:rFonts w:hint="default" w:ascii="Times New Roman" w:hAnsi="Times New Roman" w:cs="Times New Roman"/>
          <w:sz w:val="32"/>
          <w:szCs w:val="32"/>
        </w:rPr>
        <w:t>671.57万元，使用指标金额为21</w:t>
      </w:r>
      <w:r>
        <w:rPr>
          <w:rFonts w:hint="default" w:ascii="Times New Roman" w:hAnsi="Times New Roman" w:cs="Times New Roman"/>
          <w:sz w:val="32"/>
          <w:szCs w:val="32"/>
          <w:lang w:val="en-US" w:eastAsia="zh-CN"/>
        </w:rPr>
        <w:t>,</w:t>
      </w:r>
      <w:r>
        <w:rPr>
          <w:rFonts w:hint="default" w:ascii="Times New Roman" w:hAnsi="Times New Roman" w:cs="Times New Roman"/>
          <w:sz w:val="32"/>
          <w:szCs w:val="32"/>
        </w:rPr>
        <w:t>155.40万元，预算完成率约为97.62%。</w:t>
      </w:r>
    </w:p>
    <w:p w14:paraId="3549B8F8">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（2）预算调整率</w:t>
      </w:r>
    </w:p>
    <w:p w14:paraId="52D8DEBE">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2022年度</w:t>
      </w: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年初</w:t>
      </w:r>
      <w:r>
        <w:rPr>
          <w:rFonts w:hint="default" w:ascii="Times New Roman" w:hAnsi="Times New Roman" w:cs="Times New Roman"/>
          <w:sz w:val="32"/>
          <w:szCs w:val="32"/>
          <w:lang w:val="en-US" w:eastAsia="zh-CN"/>
        </w:rPr>
        <w:t>经批复的</w:t>
      </w:r>
      <w:r>
        <w:rPr>
          <w:rFonts w:hint="default" w:ascii="Times New Roman" w:hAnsi="Times New Roman" w:cs="Times New Roman"/>
          <w:sz w:val="32"/>
          <w:szCs w:val="32"/>
        </w:rPr>
        <w:t>预算支出金额为18</w:t>
      </w:r>
      <w:r>
        <w:rPr>
          <w:rFonts w:hint="default" w:ascii="Times New Roman" w:hAnsi="Times New Roman" w:cs="Times New Roman"/>
          <w:sz w:val="32"/>
          <w:szCs w:val="32"/>
          <w:lang w:val="en-US" w:eastAsia="zh-CN"/>
        </w:rPr>
        <w:t>,</w:t>
      </w:r>
      <w:r>
        <w:rPr>
          <w:rFonts w:hint="default" w:ascii="Times New Roman" w:hAnsi="Times New Roman" w:cs="Times New Roman"/>
          <w:sz w:val="32"/>
          <w:szCs w:val="32"/>
        </w:rPr>
        <w:t>469.67万元，</w:t>
      </w:r>
      <w:r>
        <w:rPr>
          <w:rFonts w:hint="default" w:ascii="Times New Roman" w:hAnsi="Times New Roman" w:cs="Times New Roman"/>
          <w:sz w:val="32"/>
          <w:szCs w:val="32"/>
          <w:lang w:val="en-US" w:eastAsia="zh-CN"/>
        </w:rPr>
        <w:t>决算报表</w:t>
      </w:r>
      <w:r>
        <w:rPr>
          <w:rFonts w:hint="default" w:ascii="Times New Roman" w:hAnsi="Times New Roman" w:cs="Times New Roman"/>
          <w:sz w:val="32"/>
          <w:szCs w:val="32"/>
        </w:rPr>
        <w:t>的金额为20</w:t>
      </w:r>
      <w:r>
        <w:rPr>
          <w:rFonts w:hint="default" w:ascii="Times New Roman" w:hAnsi="Times New Roman" w:cs="Times New Roman"/>
          <w:sz w:val="32"/>
          <w:szCs w:val="32"/>
          <w:lang w:val="en-US" w:eastAsia="zh-CN"/>
        </w:rPr>
        <w:t>,</w:t>
      </w:r>
      <w:r>
        <w:rPr>
          <w:rFonts w:hint="default" w:ascii="Times New Roman" w:hAnsi="Times New Roman" w:cs="Times New Roman"/>
          <w:sz w:val="32"/>
          <w:szCs w:val="32"/>
        </w:rPr>
        <w:t>138.14万元，</w:t>
      </w:r>
      <w:r>
        <w:rPr>
          <w:rFonts w:hint="default" w:ascii="Times New Roman" w:hAnsi="Times New Roman" w:cs="Times New Roman"/>
          <w:sz w:val="32"/>
          <w:szCs w:val="32"/>
          <w:lang w:val="en-US" w:eastAsia="zh-CN"/>
        </w:rPr>
        <w:t>调整预算</w:t>
      </w:r>
      <w:r>
        <w:rPr>
          <w:rFonts w:hint="default" w:ascii="Times New Roman" w:hAnsi="Times New Roman" w:cs="Times New Roman"/>
          <w:sz w:val="32"/>
          <w:szCs w:val="32"/>
        </w:rPr>
        <w:t>金额为1</w:t>
      </w:r>
      <w:r>
        <w:rPr>
          <w:rFonts w:hint="default" w:ascii="Times New Roman" w:hAnsi="Times New Roman" w:cs="Times New Roman"/>
          <w:sz w:val="32"/>
          <w:szCs w:val="32"/>
          <w:lang w:val="en-US" w:eastAsia="zh-CN"/>
        </w:rPr>
        <w:t>,</w:t>
      </w:r>
      <w:r>
        <w:rPr>
          <w:rFonts w:hint="default" w:ascii="Times New Roman" w:hAnsi="Times New Roman" w:cs="Times New Roman"/>
          <w:sz w:val="32"/>
          <w:szCs w:val="32"/>
        </w:rPr>
        <w:t>668.47万元，预算调整率为9.03%。</w:t>
      </w:r>
    </w:p>
    <w:p w14:paraId="358F6EEB">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（3）支付进度率</w:t>
      </w:r>
    </w:p>
    <w:p w14:paraId="50712A8A">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2022年度</w:t>
      </w:r>
      <w:r>
        <w:rPr>
          <w:rFonts w:hint="default" w:ascii="Times New Roman" w:hAnsi="Times New Roman" w:cs="Times New Roman"/>
          <w:sz w:val="32"/>
          <w:szCs w:val="32"/>
          <w:lang w:val="en-US" w:eastAsia="zh-CN"/>
        </w:rPr>
        <w:t>财工</w:t>
      </w:r>
      <w:r>
        <w:rPr>
          <w:rFonts w:hint="default" w:ascii="Times New Roman" w:hAnsi="Times New Roman" w:cs="Times New Roman"/>
          <w:sz w:val="32"/>
          <w:szCs w:val="32"/>
        </w:rPr>
        <w:t>院预算执行数为20</w:t>
      </w:r>
      <w:r>
        <w:rPr>
          <w:rFonts w:hint="default" w:ascii="Times New Roman" w:hAnsi="Times New Roman" w:cs="Times New Roman"/>
          <w:sz w:val="32"/>
          <w:szCs w:val="32"/>
          <w:lang w:val="en-US" w:eastAsia="zh-CN"/>
        </w:rPr>
        <w:t>,</w:t>
      </w:r>
      <w:r>
        <w:rPr>
          <w:rFonts w:hint="default" w:ascii="Times New Roman" w:hAnsi="Times New Roman" w:cs="Times New Roman"/>
          <w:sz w:val="32"/>
          <w:szCs w:val="32"/>
        </w:rPr>
        <w:t>138.14万元，调整后的预算支出为20</w:t>
      </w:r>
      <w:r>
        <w:rPr>
          <w:rFonts w:hint="default" w:ascii="Times New Roman" w:hAnsi="Times New Roman" w:cs="Times New Roman"/>
          <w:sz w:val="32"/>
          <w:szCs w:val="32"/>
          <w:lang w:val="en-US" w:eastAsia="zh-CN"/>
        </w:rPr>
        <w:t>,</w:t>
      </w:r>
      <w:r>
        <w:rPr>
          <w:rFonts w:hint="default" w:ascii="Times New Roman" w:hAnsi="Times New Roman" w:cs="Times New Roman"/>
          <w:sz w:val="32"/>
          <w:szCs w:val="32"/>
        </w:rPr>
        <w:t>138.14万元，支付进度率为100%。</w:t>
      </w:r>
    </w:p>
    <w:p w14:paraId="27F04611">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（4）结转结余变动率</w:t>
      </w:r>
    </w:p>
    <w:p w14:paraId="3463E47B">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w:t>
      </w:r>
      <w:r>
        <w:rPr>
          <w:rFonts w:hint="default" w:ascii="Times New Roman" w:hAnsi="Times New Roman" w:cs="Times New Roman"/>
          <w:sz w:val="32"/>
          <w:szCs w:val="32"/>
        </w:rPr>
        <w:t>院2021年度结转资金结余28万元，2022年度结转结余资金516.17万元，结转结余变动率为1743.46%。</w:t>
      </w:r>
    </w:p>
    <w:p w14:paraId="4F92CA78">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（5）公用经费控制率</w:t>
      </w:r>
    </w:p>
    <w:p w14:paraId="088E3789">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w:t>
      </w:r>
      <w:r>
        <w:rPr>
          <w:rFonts w:hint="default" w:ascii="Times New Roman" w:hAnsi="Times New Roman" w:cs="Times New Roman"/>
          <w:sz w:val="32"/>
          <w:szCs w:val="32"/>
        </w:rPr>
        <w:t>院2022年度公用经费调增后预算数为4</w:t>
      </w:r>
      <w:r>
        <w:rPr>
          <w:rFonts w:hint="default" w:ascii="Times New Roman" w:hAnsi="Times New Roman" w:cs="Times New Roman"/>
          <w:sz w:val="32"/>
          <w:szCs w:val="32"/>
          <w:lang w:val="en-US" w:eastAsia="zh-CN"/>
        </w:rPr>
        <w:t>,</w:t>
      </w:r>
      <w:r>
        <w:rPr>
          <w:rFonts w:hint="default" w:ascii="Times New Roman" w:hAnsi="Times New Roman" w:cs="Times New Roman"/>
          <w:sz w:val="32"/>
          <w:szCs w:val="32"/>
        </w:rPr>
        <w:t>478万元，实际支出金额4</w:t>
      </w:r>
      <w:r>
        <w:rPr>
          <w:rFonts w:hint="default" w:ascii="Times New Roman" w:hAnsi="Times New Roman" w:cs="Times New Roman"/>
          <w:sz w:val="32"/>
          <w:szCs w:val="32"/>
          <w:lang w:val="en-US" w:eastAsia="zh-CN"/>
        </w:rPr>
        <w:t>,</w:t>
      </w:r>
      <w:r>
        <w:rPr>
          <w:rFonts w:hint="default" w:ascii="Times New Roman" w:hAnsi="Times New Roman" w:cs="Times New Roman"/>
          <w:sz w:val="32"/>
          <w:szCs w:val="32"/>
        </w:rPr>
        <w:t>477.72万元，公用经费控制率为99.88%。</w:t>
      </w:r>
    </w:p>
    <w:p w14:paraId="0BA695CD">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（6）“三公经费”控制率</w:t>
      </w:r>
    </w:p>
    <w:p w14:paraId="0F5E397E">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w:t>
      </w:r>
      <w:r>
        <w:rPr>
          <w:rFonts w:hint="default" w:ascii="Times New Roman" w:hAnsi="Times New Roman" w:cs="Times New Roman"/>
          <w:sz w:val="32"/>
          <w:szCs w:val="32"/>
        </w:rPr>
        <w:t>院2022年度“三公经费”预算数为54万元，实际支出23.36万元，“三公经费”控制率为43.63%，“三公经费”使用非财政资金。</w:t>
      </w:r>
    </w:p>
    <w:p w14:paraId="45326ACA">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（7）政府采购节资率</w:t>
      </w:r>
    </w:p>
    <w:p w14:paraId="438F02E7">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w:t>
      </w:r>
      <w:r>
        <w:rPr>
          <w:rFonts w:hint="default" w:ascii="Times New Roman" w:hAnsi="Times New Roman" w:cs="Times New Roman"/>
          <w:sz w:val="32"/>
          <w:szCs w:val="32"/>
        </w:rPr>
        <w:t>院2022年度政府采购预算资金24</w:t>
      </w:r>
      <w:r>
        <w:rPr>
          <w:rFonts w:hint="default" w:ascii="Times New Roman" w:hAnsi="Times New Roman" w:cs="Times New Roman"/>
          <w:sz w:val="32"/>
          <w:szCs w:val="32"/>
          <w:lang w:val="en-US" w:eastAsia="zh-CN"/>
        </w:rPr>
        <w:t>21</w:t>
      </w:r>
      <w:r>
        <w:rPr>
          <w:rFonts w:hint="default" w:ascii="Times New Roman" w:hAnsi="Times New Roman" w:cs="Times New Roman"/>
          <w:sz w:val="32"/>
          <w:szCs w:val="32"/>
        </w:rPr>
        <w:t>.48万元，实际采购资金220</w:t>
      </w:r>
      <w:r>
        <w:rPr>
          <w:rFonts w:hint="default" w:ascii="Times New Roman" w:hAnsi="Times New Roman" w:cs="Times New Roman"/>
          <w:sz w:val="32"/>
          <w:szCs w:val="32"/>
          <w:lang w:val="en-US" w:eastAsia="zh-CN"/>
        </w:rPr>
        <w:t>7</w:t>
      </w:r>
      <w:r>
        <w:rPr>
          <w:rFonts w:hint="default" w:ascii="Times New Roman" w:hAnsi="Times New Roman" w:cs="Times New Roman"/>
          <w:sz w:val="32"/>
          <w:szCs w:val="32"/>
        </w:rPr>
        <w:t>.</w:t>
      </w:r>
      <w:r>
        <w:rPr>
          <w:rFonts w:hint="default" w:ascii="Times New Roman" w:hAnsi="Times New Roman" w:cs="Times New Roman"/>
          <w:sz w:val="32"/>
          <w:szCs w:val="32"/>
          <w:lang w:val="en-US" w:eastAsia="zh-CN"/>
        </w:rPr>
        <w:t>46</w:t>
      </w:r>
      <w:r>
        <w:rPr>
          <w:rFonts w:hint="default" w:ascii="Times New Roman" w:hAnsi="Times New Roman" w:cs="Times New Roman"/>
          <w:sz w:val="32"/>
          <w:szCs w:val="32"/>
        </w:rPr>
        <w:t>万元，政府采购节资率为8.8%。</w:t>
      </w:r>
    </w:p>
    <w:p w14:paraId="2A522963">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（8）政府采购执行率</w:t>
      </w:r>
    </w:p>
    <w:p w14:paraId="04EB6CBA">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w:t>
      </w:r>
      <w:r>
        <w:rPr>
          <w:rFonts w:hint="default" w:ascii="Times New Roman" w:hAnsi="Times New Roman" w:cs="Times New Roman"/>
          <w:sz w:val="32"/>
          <w:szCs w:val="32"/>
        </w:rPr>
        <w:t>院2022年度政府采购项目</w:t>
      </w:r>
      <w:r>
        <w:rPr>
          <w:rFonts w:hint="default" w:ascii="Times New Roman" w:hAnsi="Times New Roman" w:cs="Times New Roman"/>
          <w:sz w:val="32"/>
          <w:szCs w:val="32"/>
          <w:lang w:val="en-US" w:eastAsia="zh-CN"/>
        </w:rPr>
        <w:t>7</w:t>
      </w:r>
      <w:r>
        <w:rPr>
          <w:rFonts w:hint="default" w:ascii="Times New Roman" w:hAnsi="Times New Roman" w:cs="Times New Roman"/>
          <w:sz w:val="32"/>
          <w:szCs w:val="32"/>
        </w:rPr>
        <w:t>个，实际履约验收个数</w:t>
      </w:r>
      <w:r>
        <w:rPr>
          <w:rFonts w:hint="default" w:ascii="Times New Roman" w:hAnsi="Times New Roman" w:cs="Times New Roman"/>
          <w:sz w:val="32"/>
          <w:szCs w:val="32"/>
          <w:lang w:val="en-US" w:eastAsia="zh-CN"/>
        </w:rPr>
        <w:t>6</w:t>
      </w:r>
      <w:r>
        <w:rPr>
          <w:rFonts w:hint="default" w:ascii="Times New Roman" w:hAnsi="Times New Roman" w:cs="Times New Roman"/>
          <w:sz w:val="32"/>
          <w:szCs w:val="32"/>
        </w:rPr>
        <w:t>个，政府采购执行率为</w:t>
      </w:r>
      <w:r>
        <w:rPr>
          <w:rFonts w:hint="default" w:ascii="Times New Roman" w:hAnsi="Times New Roman" w:cs="Times New Roman"/>
          <w:sz w:val="32"/>
          <w:szCs w:val="32"/>
          <w:lang w:val="en-US" w:eastAsia="zh-CN"/>
        </w:rPr>
        <w:t>85.71</w:t>
      </w:r>
      <w:r>
        <w:rPr>
          <w:rFonts w:hint="default" w:ascii="Times New Roman" w:hAnsi="Times New Roman" w:cs="Times New Roman"/>
          <w:sz w:val="32"/>
          <w:szCs w:val="32"/>
        </w:rPr>
        <w:t>%。</w:t>
      </w:r>
    </w:p>
    <w:p w14:paraId="5CD66FA3">
      <w:pPr>
        <w:pageBreakBefore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2.预算管理方面（满分10分，得分9.2分）</w:t>
      </w:r>
    </w:p>
    <w:p w14:paraId="1FFD077E">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（1）管理制度健全性</w:t>
      </w:r>
    </w:p>
    <w:p w14:paraId="0C416441">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现有预算管理、资产管理、招标管理、财务报销与付款管理等多方面汇编的制度，但资产管理制度还执行不到位。</w:t>
      </w:r>
    </w:p>
    <w:p w14:paraId="5CA3C2FF">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（2）资金使用合规性</w:t>
      </w:r>
    </w:p>
    <w:p w14:paraId="1BF02992">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支出基本符合国家财经法规和财务管理制度规定以及有关专项资金管理办法的规定，资金拨付审批程序和手续完整，支出符合部门预算批复的用途，资金无截留、挤占、挪用、虚列支出等情况，但存在个别项目审批程序不到位的情况。</w:t>
      </w:r>
    </w:p>
    <w:p w14:paraId="4F07F2A4">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（3）预决算信息公开性</w:t>
      </w:r>
    </w:p>
    <w:p w14:paraId="2211F9DE">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预决算信息每年会定期公开。</w:t>
      </w:r>
    </w:p>
    <w:p w14:paraId="2BB2F696">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（4）基础信息完善性</w:t>
      </w:r>
    </w:p>
    <w:p w14:paraId="5F49715B">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财工院基础数据信息和会计信息数据真实、完整，但存在少量账务核算错误导致数据准确性降低</w:t>
      </w:r>
      <w:r>
        <w:rPr>
          <w:rFonts w:hint="default" w:ascii="Times New Roman" w:hAnsi="Times New Roman" w:cs="Times New Roman"/>
          <w:sz w:val="32"/>
          <w:szCs w:val="32"/>
        </w:rPr>
        <w:t>。</w:t>
      </w:r>
    </w:p>
    <w:p w14:paraId="4640A2EC">
      <w:pPr>
        <w:pageBreakBefore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3.资产管理方面（满分5分，得分3.8分）</w:t>
      </w:r>
    </w:p>
    <w:p w14:paraId="4CED04C7">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（1）管理制度健全性</w:t>
      </w:r>
    </w:p>
    <w:p w14:paraId="155D3D95">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资产管理制度基本健全，</w:t>
      </w:r>
      <w:r>
        <w:rPr>
          <w:rFonts w:hint="default" w:ascii="Times New Roman" w:hAnsi="Times New Roman" w:cs="Times New Roman"/>
          <w:sz w:val="32"/>
          <w:szCs w:val="32"/>
          <w:lang w:val="en-US" w:eastAsia="zh-CN"/>
        </w:rPr>
        <w:t>但</w:t>
      </w:r>
      <w:r>
        <w:rPr>
          <w:rFonts w:hint="default" w:ascii="Times New Roman" w:hAnsi="Times New Roman" w:cs="Times New Roman"/>
          <w:sz w:val="32"/>
          <w:szCs w:val="32"/>
        </w:rPr>
        <w:t>相关资产管理制度执行力度有待加强。</w:t>
      </w:r>
    </w:p>
    <w:p w14:paraId="2B7144F9">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（2）资产管理安全性</w:t>
      </w:r>
    </w:p>
    <w:p w14:paraId="79CBD600">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资产保存完整，资产配置合理，资产处置程序规范，但资产存在账实不相符，资产有偿使用及处置收入未及时足额上缴的情况。</w:t>
      </w:r>
    </w:p>
    <w:p w14:paraId="0A8C538F">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（3）固定资产利用率</w:t>
      </w:r>
    </w:p>
    <w:p w14:paraId="337643DF">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2022年底财工院固定资产净值26793.64万元，均为在用状态，固定资产利用率为100%。</w:t>
      </w:r>
    </w:p>
    <w:p w14:paraId="516107D3">
      <w:pPr>
        <w:pageBreakBefore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小结：“过程情况”维度满分30分，实际得分23.9分。</w:t>
      </w:r>
    </w:p>
    <w:p w14:paraId="0FD3FB46">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3" w:firstLineChars="200"/>
        <w:jc w:val="both"/>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（三）产出情况</w:t>
      </w:r>
    </w:p>
    <w:p w14:paraId="78EB8063">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根据</w:t>
      </w: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计划工作的实际完成情况，</w:t>
      </w:r>
      <w:r>
        <w:rPr>
          <w:rFonts w:hint="default" w:ascii="Times New Roman" w:hAnsi="Times New Roman" w:cs="Times New Roman"/>
          <w:sz w:val="32"/>
          <w:szCs w:val="32"/>
          <w:lang w:val="en-US" w:eastAsia="zh-CN"/>
        </w:rPr>
        <w:t>在“</w:t>
      </w:r>
      <w:r>
        <w:rPr>
          <w:rFonts w:hint="default" w:ascii="Times New Roman" w:hAnsi="Times New Roman" w:cs="Times New Roman"/>
          <w:sz w:val="32"/>
          <w:szCs w:val="32"/>
        </w:rPr>
        <w:t>职责履行</w:t>
      </w:r>
      <w:r>
        <w:rPr>
          <w:rFonts w:hint="default" w:ascii="Times New Roman" w:hAnsi="Times New Roman" w:cs="Times New Roman"/>
          <w:sz w:val="32"/>
          <w:szCs w:val="32"/>
          <w:lang w:val="en-US" w:eastAsia="zh-CN"/>
        </w:rPr>
        <w:t>”2级指标下</w:t>
      </w:r>
      <w:r>
        <w:rPr>
          <w:rFonts w:hint="default" w:ascii="Times New Roman" w:hAnsi="Times New Roman" w:cs="Times New Roman"/>
          <w:sz w:val="32"/>
          <w:szCs w:val="32"/>
        </w:rPr>
        <w:t>分别设置培养全日制学生数量完成率</w:t>
      </w:r>
      <w:r>
        <w:rPr>
          <w:rFonts w:hint="default" w:ascii="Times New Roman" w:hAnsi="Times New Roman" w:cs="Times New Roman"/>
          <w:sz w:val="32"/>
          <w:szCs w:val="32"/>
          <w:lang w:eastAsia="zh-CN"/>
        </w:rPr>
        <w:t>、</w:t>
      </w:r>
      <w:r>
        <w:rPr>
          <w:rFonts w:hint="default" w:ascii="Times New Roman" w:hAnsi="Times New Roman" w:cs="Times New Roman"/>
          <w:sz w:val="32"/>
          <w:szCs w:val="32"/>
        </w:rPr>
        <w:t>毕业生去向落实率</w:t>
      </w:r>
      <w:r>
        <w:rPr>
          <w:rFonts w:hint="default" w:ascii="Times New Roman" w:hAnsi="Times New Roman" w:cs="Times New Roman"/>
          <w:sz w:val="32"/>
          <w:szCs w:val="32"/>
          <w:lang w:eastAsia="zh-CN"/>
        </w:rPr>
        <w:t>、</w:t>
      </w:r>
      <w:r>
        <w:rPr>
          <w:rFonts w:hint="default" w:ascii="Times New Roman" w:hAnsi="Times New Roman" w:cs="Times New Roman"/>
          <w:sz w:val="32"/>
          <w:szCs w:val="32"/>
        </w:rPr>
        <w:t>省级及以上竞赛奖项数</w:t>
      </w:r>
      <w:r>
        <w:rPr>
          <w:rFonts w:hint="default" w:ascii="Times New Roman" w:hAnsi="Times New Roman" w:cs="Times New Roman"/>
          <w:sz w:val="32"/>
          <w:szCs w:val="32"/>
          <w:lang w:eastAsia="zh-CN"/>
        </w:rPr>
        <w:t>、</w:t>
      </w:r>
      <w:r>
        <w:rPr>
          <w:rFonts w:hint="default" w:ascii="Times New Roman" w:hAnsi="Times New Roman" w:cs="Times New Roman"/>
          <w:sz w:val="32"/>
          <w:szCs w:val="32"/>
        </w:rPr>
        <w:t>高层次人才引进与培养</w:t>
      </w:r>
      <w:r>
        <w:rPr>
          <w:rFonts w:hint="default" w:ascii="Times New Roman" w:hAnsi="Times New Roman" w:cs="Times New Roman"/>
          <w:sz w:val="32"/>
          <w:szCs w:val="32"/>
          <w:lang w:eastAsia="zh-CN"/>
        </w:rPr>
        <w:t>、</w:t>
      </w:r>
      <w:r>
        <w:rPr>
          <w:rFonts w:hint="default" w:ascii="Times New Roman" w:hAnsi="Times New Roman" w:cs="Times New Roman"/>
          <w:sz w:val="32"/>
          <w:szCs w:val="32"/>
        </w:rPr>
        <w:t>学生毕业设计合格率</w:t>
      </w:r>
      <w:r>
        <w:rPr>
          <w:rFonts w:hint="default" w:ascii="Times New Roman" w:hAnsi="Times New Roman" w:cs="Times New Roman"/>
          <w:sz w:val="32"/>
          <w:szCs w:val="32"/>
          <w:lang w:eastAsia="zh-CN"/>
        </w:rPr>
        <w:t>、</w:t>
      </w:r>
      <w:r>
        <w:rPr>
          <w:rFonts w:hint="default" w:ascii="Times New Roman" w:hAnsi="Times New Roman" w:cs="Times New Roman"/>
          <w:sz w:val="32"/>
          <w:szCs w:val="32"/>
        </w:rPr>
        <w:t>各级教学能力、专业技能竞赛获奖率</w:t>
      </w:r>
      <w:r>
        <w:rPr>
          <w:rFonts w:hint="default" w:ascii="Times New Roman" w:hAnsi="Times New Roman" w:cs="Times New Roman"/>
          <w:sz w:val="32"/>
          <w:szCs w:val="32"/>
          <w:lang w:eastAsia="zh-CN"/>
        </w:rPr>
        <w:t>、</w:t>
      </w:r>
      <w:r>
        <w:rPr>
          <w:rFonts w:hint="default" w:ascii="Times New Roman" w:hAnsi="Times New Roman" w:cs="Times New Roman"/>
          <w:sz w:val="32"/>
          <w:szCs w:val="32"/>
        </w:rPr>
        <w:t>双师素质教师占专任教师比</w:t>
      </w:r>
      <w:r>
        <w:rPr>
          <w:rFonts w:hint="default" w:ascii="Times New Roman" w:hAnsi="Times New Roman" w:cs="Times New Roman"/>
          <w:sz w:val="32"/>
          <w:szCs w:val="32"/>
          <w:lang w:eastAsia="zh-CN"/>
        </w:rPr>
        <w:t>、</w:t>
      </w:r>
      <w:r>
        <w:rPr>
          <w:rFonts w:hint="default" w:ascii="Times New Roman" w:hAnsi="Times New Roman" w:cs="Times New Roman"/>
          <w:sz w:val="32"/>
          <w:szCs w:val="32"/>
        </w:rPr>
        <w:t>科研成果新增数</w:t>
      </w:r>
      <w:r>
        <w:rPr>
          <w:rFonts w:hint="default" w:ascii="Times New Roman" w:hAnsi="Times New Roman" w:cs="Times New Roman"/>
          <w:sz w:val="32"/>
          <w:szCs w:val="32"/>
          <w:lang w:eastAsia="zh-CN"/>
        </w:rPr>
        <w:t>、</w:t>
      </w:r>
      <w:r>
        <w:rPr>
          <w:rFonts w:hint="default" w:ascii="Times New Roman" w:hAnsi="Times New Roman" w:cs="Times New Roman"/>
          <w:sz w:val="32"/>
          <w:szCs w:val="32"/>
        </w:rPr>
        <w:t>市级及以上科研项目立项数</w:t>
      </w:r>
      <w:r>
        <w:rPr>
          <w:rFonts w:hint="default" w:ascii="Times New Roman" w:hAnsi="Times New Roman" w:cs="Times New Roman"/>
          <w:sz w:val="32"/>
          <w:szCs w:val="32"/>
          <w:lang w:eastAsia="zh-CN"/>
        </w:rPr>
        <w:t>、</w:t>
      </w:r>
      <w:r>
        <w:rPr>
          <w:rFonts w:hint="default" w:ascii="Times New Roman" w:hAnsi="Times New Roman" w:cs="Times New Roman"/>
          <w:sz w:val="32"/>
          <w:szCs w:val="32"/>
        </w:rPr>
        <w:t>重点工作办结率</w:t>
      </w:r>
      <w:r>
        <w:rPr>
          <w:rFonts w:hint="default" w:ascii="Times New Roman" w:hAnsi="Times New Roman" w:cs="Times New Roman"/>
          <w:sz w:val="32"/>
          <w:szCs w:val="32"/>
          <w:lang w:val="en-US" w:eastAsia="zh-CN"/>
        </w:rPr>
        <w:t>11</w:t>
      </w:r>
      <w:r>
        <w:rPr>
          <w:rFonts w:hint="default" w:ascii="Times New Roman" w:hAnsi="Times New Roman" w:cs="Times New Roman"/>
          <w:sz w:val="32"/>
          <w:szCs w:val="32"/>
        </w:rPr>
        <w:t>个三级指标对</w:t>
      </w:r>
      <w:r>
        <w:rPr>
          <w:rFonts w:hint="default" w:ascii="Times New Roman" w:hAnsi="Times New Roman" w:cs="Times New Roman"/>
          <w:sz w:val="32"/>
          <w:szCs w:val="32"/>
          <w:lang w:val="en-US" w:eastAsia="zh-CN"/>
        </w:rPr>
        <w:t>财工院2022</w:t>
      </w:r>
      <w:r>
        <w:rPr>
          <w:rFonts w:hint="default" w:ascii="Times New Roman" w:hAnsi="Times New Roman" w:cs="Times New Roman"/>
          <w:sz w:val="32"/>
          <w:szCs w:val="32"/>
        </w:rPr>
        <w:t>年度职责履行情况进行评价。</w:t>
      </w:r>
    </w:p>
    <w:p w14:paraId="789985E7">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3" w:firstLineChars="200"/>
        <w:jc w:val="both"/>
        <w:textAlignment w:val="auto"/>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1.职责履行方面（满分30分，得分24.9分）</w:t>
      </w:r>
    </w:p>
    <w:p w14:paraId="3876381D">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（1）招生数量完成率</w:t>
      </w:r>
    </w:p>
    <w:p w14:paraId="12F0991F">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2022年度计划招生人数4500人，实际招生人数4527人</w:t>
      </w:r>
      <w:r>
        <w:rPr>
          <w:rFonts w:hint="default" w:ascii="Times New Roman" w:hAnsi="Times New Roman" w:cs="Times New Roman"/>
          <w:color w:val="auto"/>
          <w:sz w:val="32"/>
          <w:szCs w:val="32"/>
          <w:lang w:eastAsia="zh-CN"/>
        </w:rPr>
        <w:t>，</w:t>
      </w:r>
      <w:r>
        <w:rPr>
          <w:rFonts w:hint="default" w:ascii="Times New Roman" w:hAnsi="Times New Roman" w:cs="Times New Roman"/>
          <w:color w:val="auto"/>
          <w:sz w:val="32"/>
          <w:szCs w:val="32"/>
        </w:rPr>
        <w:t>招生数量完成率113.18%。</w:t>
      </w:r>
    </w:p>
    <w:p w14:paraId="25B82908">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（2）培养全日制学生数量完成率</w:t>
      </w:r>
    </w:p>
    <w:p w14:paraId="0F348FB7">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2022年度计划培养学生数量12200人，实际培养学生数量12291人，完成率100.75%。</w:t>
      </w:r>
    </w:p>
    <w:p w14:paraId="7B2BFE11">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（3）毕业生去向落实率</w:t>
      </w:r>
    </w:p>
    <w:p w14:paraId="189BDCA2">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2022年度毕业生人数4271人，</w:t>
      </w:r>
      <w:r>
        <w:rPr>
          <w:rFonts w:hint="default" w:ascii="Times New Roman" w:hAnsi="Times New Roman" w:cs="Times New Roman"/>
          <w:color w:val="auto"/>
          <w:sz w:val="32"/>
          <w:szCs w:val="32"/>
          <w:lang w:eastAsia="zh-CN"/>
        </w:rPr>
        <w:t>截止到</w:t>
      </w:r>
      <w:r>
        <w:rPr>
          <w:rFonts w:hint="default" w:ascii="Times New Roman" w:hAnsi="Times New Roman" w:cs="Times New Roman"/>
          <w:color w:val="auto"/>
          <w:sz w:val="32"/>
          <w:szCs w:val="32"/>
          <w:lang w:val="en-US" w:eastAsia="zh-CN"/>
        </w:rPr>
        <w:t>2022年8月31日，</w:t>
      </w:r>
      <w:r>
        <w:rPr>
          <w:rFonts w:hint="default" w:ascii="Times New Roman" w:hAnsi="Times New Roman" w:cs="Times New Roman"/>
          <w:color w:val="auto"/>
          <w:sz w:val="32"/>
          <w:szCs w:val="32"/>
        </w:rPr>
        <w:t>年度毕业生去向落实人数3737人，落实率87.52%。</w:t>
      </w:r>
    </w:p>
    <w:p w14:paraId="7D8D57AC">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（4）省级及以上竞赛奖项数</w:t>
      </w:r>
    </w:p>
    <w:p w14:paraId="2F8898CE">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2022年度，</w:t>
      </w:r>
      <w:r>
        <w:rPr>
          <w:rFonts w:hint="default" w:ascii="Times New Roman" w:hAnsi="Times New Roman" w:cs="Times New Roman"/>
          <w:color w:val="auto"/>
          <w:sz w:val="32"/>
          <w:szCs w:val="32"/>
          <w:lang w:val="en-US" w:eastAsia="zh-CN"/>
        </w:rPr>
        <w:t>财工院</w:t>
      </w:r>
      <w:r>
        <w:rPr>
          <w:rFonts w:hint="default" w:ascii="Times New Roman" w:hAnsi="Times New Roman" w:cs="Times New Roman"/>
          <w:color w:val="auto"/>
          <w:sz w:val="32"/>
          <w:szCs w:val="32"/>
        </w:rPr>
        <w:t>省级及以上竞赛奖项数年度目标60个以上，实际获得省级及以上竞赛奖项数72个，其中学生竞赛省级一等奖15个、省级二等奖19个、省级三等级28个、国家级一等奖1个、国家二等奖2个；教师竞赛省级一等奖1个、省级二等奖2个、省级三等级4个。</w:t>
      </w:r>
    </w:p>
    <w:p w14:paraId="3941A40F">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（5）高层次人才引进与培养</w:t>
      </w:r>
    </w:p>
    <w:p w14:paraId="712A2367">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2022年度</w:t>
      </w:r>
      <w:r>
        <w:rPr>
          <w:rFonts w:hint="default" w:ascii="Times New Roman" w:hAnsi="Times New Roman" w:cs="Times New Roman"/>
          <w:color w:val="auto"/>
          <w:sz w:val="32"/>
          <w:szCs w:val="32"/>
          <w:lang w:val="en-US" w:eastAsia="zh-CN"/>
        </w:rPr>
        <w:t>财工院</w:t>
      </w:r>
      <w:r>
        <w:rPr>
          <w:rFonts w:hint="default" w:ascii="Times New Roman" w:hAnsi="Times New Roman" w:cs="Times New Roman"/>
          <w:color w:val="auto"/>
          <w:sz w:val="32"/>
          <w:szCs w:val="32"/>
        </w:rPr>
        <w:t>计划引进与培养高层次人才10人以上，实际引进15人。</w:t>
      </w:r>
    </w:p>
    <w:p w14:paraId="40F09D0C">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（6）学生毕业设计合格率</w:t>
      </w:r>
    </w:p>
    <w:p w14:paraId="1184037C">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2022年度学生毕业设计合格率98%，超年度目标值95%三个百分点。</w:t>
      </w:r>
    </w:p>
    <w:p w14:paraId="178D9D50">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（7）各级教学能力、专业技能竞赛获奖率</w:t>
      </w:r>
    </w:p>
    <w:p w14:paraId="219D9386">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2022年度学院各级教学能力、专业技能竞赛全年参赛组项81组，共计获得72个奖项，获奖率达8</w:t>
      </w:r>
      <w:r>
        <w:rPr>
          <w:rFonts w:hint="default" w:ascii="Times New Roman" w:hAnsi="Times New Roman" w:cs="Times New Roman"/>
          <w:color w:val="auto"/>
          <w:sz w:val="32"/>
          <w:szCs w:val="32"/>
          <w:lang w:val="en-US" w:eastAsia="zh-CN"/>
        </w:rPr>
        <w:t>8.89</w:t>
      </w:r>
      <w:r>
        <w:rPr>
          <w:rFonts w:hint="default" w:ascii="Times New Roman" w:hAnsi="Times New Roman" w:cs="Times New Roman"/>
          <w:color w:val="auto"/>
          <w:sz w:val="32"/>
          <w:szCs w:val="32"/>
        </w:rPr>
        <w:t>%。</w:t>
      </w:r>
    </w:p>
    <w:p w14:paraId="0FD6B350">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（8）双师素质教师占专任教师比</w:t>
      </w:r>
    </w:p>
    <w:p w14:paraId="7D151768">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2022年度，</w:t>
      </w:r>
      <w:r>
        <w:rPr>
          <w:rFonts w:hint="default" w:ascii="Times New Roman" w:hAnsi="Times New Roman" w:cs="Times New Roman"/>
          <w:color w:val="auto"/>
          <w:sz w:val="32"/>
          <w:szCs w:val="32"/>
          <w:lang w:val="en-US" w:eastAsia="zh-CN"/>
        </w:rPr>
        <w:t>财工院</w:t>
      </w:r>
      <w:r>
        <w:rPr>
          <w:rFonts w:hint="default" w:ascii="Times New Roman" w:hAnsi="Times New Roman" w:cs="Times New Roman"/>
          <w:color w:val="auto"/>
          <w:sz w:val="32"/>
          <w:szCs w:val="32"/>
        </w:rPr>
        <w:t>双师素质教师人数</w:t>
      </w:r>
      <w:r>
        <w:rPr>
          <w:rFonts w:hint="default" w:ascii="Times New Roman" w:hAnsi="Times New Roman" w:cs="Times New Roman"/>
          <w:color w:val="auto"/>
          <w:sz w:val="32"/>
          <w:szCs w:val="32"/>
          <w:lang w:val="en-US" w:eastAsia="zh-CN"/>
        </w:rPr>
        <w:t>283人</w:t>
      </w:r>
      <w:r>
        <w:rPr>
          <w:rFonts w:hint="default" w:ascii="Times New Roman" w:hAnsi="Times New Roman" w:cs="Times New Roman"/>
          <w:color w:val="auto"/>
          <w:sz w:val="32"/>
          <w:szCs w:val="32"/>
        </w:rPr>
        <w:t>，专任教师人数412</w:t>
      </w:r>
      <w:r>
        <w:rPr>
          <w:rFonts w:hint="default" w:ascii="Times New Roman" w:hAnsi="Times New Roman" w:cs="Times New Roman"/>
          <w:color w:val="auto"/>
          <w:sz w:val="32"/>
          <w:szCs w:val="32"/>
          <w:lang w:val="en-US" w:eastAsia="zh-CN"/>
        </w:rPr>
        <w:t>人</w:t>
      </w:r>
      <w:r>
        <w:rPr>
          <w:rFonts w:hint="default" w:ascii="Times New Roman" w:hAnsi="Times New Roman" w:cs="Times New Roman"/>
          <w:color w:val="auto"/>
          <w:sz w:val="32"/>
          <w:szCs w:val="32"/>
        </w:rPr>
        <w:t>，双师素质教师占专任教师比例为</w:t>
      </w:r>
      <w:r>
        <w:rPr>
          <w:rFonts w:hint="default" w:ascii="Times New Roman" w:hAnsi="Times New Roman" w:cs="Times New Roman"/>
          <w:color w:val="auto"/>
          <w:sz w:val="32"/>
          <w:szCs w:val="32"/>
          <w:lang w:val="en-US" w:eastAsia="zh-CN"/>
        </w:rPr>
        <w:t>68.69%</w:t>
      </w:r>
      <w:r>
        <w:rPr>
          <w:rFonts w:hint="default" w:ascii="Times New Roman" w:hAnsi="Times New Roman" w:cs="Times New Roman"/>
          <w:color w:val="auto"/>
          <w:sz w:val="32"/>
          <w:szCs w:val="32"/>
        </w:rPr>
        <w:t>。</w:t>
      </w:r>
    </w:p>
    <w:p w14:paraId="49F5CD79">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（9）科研成果新增数</w:t>
      </w:r>
    </w:p>
    <w:p w14:paraId="30858707">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2022年度，</w:t>
      </w:r>
      <w:r>
        <w:rPr>
          <w:rFonts w:hint="default" w:ascii="Times New Roman" w:hAnsi="Times New Roman" w:cs="Times New Roman"/>
          <w:color w:val="auto"/>
          <w:sz w:val="32"/>
          <w:szCs w:val="32"/>
          <w:lang w:val="en-US" w:eastAsia="zh-CN"/>
        </w:rPr>
        <w:t>财工院</w:t>
      </w:r>
      <w:r>
        <w:rPr>
          <w:rFonts w:hint="default" w:ascii="Times New Roman" w:hAnsi="Times New Roman" w:cs="Times New Roman"/>
          <w:color w:val="auto"/>
          <w:sz w:val="32"/>
          <w:szCs w:val="32"/>
        </w:rPr>
        <w:t>科研成果新增长260项，其中论文166篇、专著20部、教材35本、软件著作权20项，专利19项。</w:t>
      </w:r>
    </w:p>
    <w:p w14:paraId="2ABD9885">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（10）市级及以上科研项目立项数</w:t>
      </w:r>
    </w:p>
    <w:p w14:paraId="45605B3C">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cs="Times New Roman"/>
          <w:color w:val="auto"/>
          <w:sz w:val="32"/>
          <w:szCs w:val="32"/>
        </w:rPr>
        <w:t>2022年度，</w:t>
      </w:r>
      <w:r>
        <w:rPr>
          <w:rFonts w:hint="default" w:ascii="Times New Roman" w:hAnsi="Times New Roman" w:cs="Times New Roman"/>
          <w:color w:val="auto"/>
          <w:sz w:val="32"/>
          <w:szCs w:val="32"/>
          <w:lang w:val="en-US" w:eastAsia="zh-CN"/>
        </w:rPr>
        <w:t>财工院</w:t>
      </w:r>
      <w:r>
        <w:rPr>
          <w:rFonts w:hint="default" w:ascii="Times New Roman" w:hAnsi="Times New Roman" w:cs="Times New Roman"/>
          <w:color w:val="auto"/>
          <w:sz w:val="32"/>
          <w:szCs w:val="32"/>
        </w:rPr>
        <w:t>市级及以上科研项目立项数55项，其中市级以上项目53个，横向研究项目2个</w:t>
      </w:r>
      <w:r>
        <w:rPr>
          <w:rFonts w:hint="default" w:ascii="Times New Roman" w:hAnsi="Times New Roman" w:cs="Times New Roman"/>
          <w:color w:val="auto"/>
          <w:sz w:val="32"/>
          <w:szCs w:val="32"/>
          <w:lang w:eastAsia="zh-CN"/>
        </w:rPr>
        <w:t>。</w:t>
      </w:r>
    </w:p>
    <w:p w14:paraId="6FBED033">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（11）重点工作办结率</w:t>
      </w:r>
    </w:p>
    <w:p w14:paraId="0589F9FA">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lang w:eastAsia="zh-CN"/>
        </w:rPr>
      </w:pPr>
      <w:r>
        <w:rPr>
          <w:rFonts w:hint="default" w:ascii="Times New Roman" w:hAnsi="Times New Roman" w:cs="Times New Roman"/>
          <w:color w:val="auto"/>
          <w:sz w:val="32"/>
          <w:szCs w:val="32"/>
        </w:rPr>
        <w:t>2022年度</w:t>
      </w:r>
      <w:r>
        <w:rPr>
          <w:rFonts w:hint="default" w:ascii="Times New Roman" w:hAnsi="Times New Roman" w:cs="Times New Roman"/>
          <w:color w:val="auto"/>
          <w:sz w:val="32"/>
          <w:szCs w:val="32"/>
          <w:lang w:eastAsia="zh-CN"/>
        </w:rPr>
        <w:t>，</w:t>
      </w:r>
      <w:r>
        <w:rPr>
          <w:rFonts w:hint="default" w:ascii="Times New Roman" w:hAnsi="Times New Roman" w:cs="Times New Roman"/>
          <w:color w:val="auto"/>
          <w:sz w:val="32"/>
          <w:szCs w:val="32"/>
          <w:lang w:val="en-US" w:eastAsia="zh-CN"/>
        </w:rPr>
        <w:t>财工院按照2022年党政工作要点要求，立项为省楚怡高水平高职院校，制定重大政策社会稳定风险评估实施办法，完成了监控四期建设，做好了常态化疫情防控工作，</w:t>
      </w:r>
      <w:r>
        <w:rPr>
          <w:rFonts w:hint="default" w:ascii="Times New Roman" w:hAnsi="Times New Roman" w:eastAsia="仿宋_GB2312" w:cs="Times New Roman"/>
          <w:sz w:val="32"/>
          <w:szCs w:val="32"/>
        </w:rPr>
        <w:t>积极推进干部轮岗交流</w:t>
      </w:r>
      <w:r>
        <w:rPr>
          <w:rFonts w:hint="default" w:ascii="Times New Roman" w:hAnsi="Times New Roman" w:cs="Times New Roman"/>
          <w:sz w:val="32"/>
          <w:szCs w:val="32"/>
          <w:lang w:eastAsia="zh-CN"/>
        </w:rPr>
        <w:t>，对口帮扶村</w:t>
      </w:r>
      <w:r>
        <w:rPr>
          <w:rFonts w:hint="default" w:ascii="Times New Roman" w:hAnsi="Times New Roman" w:cs="Times New Roman"/>
          <w:sz w:val="32"/>
          <w:szCs w:val="32"/>
          <w:lang w:val="en-US" w:eastAsia="zh-CN"/>
        </w:rPr>
        <w:t>了</w:t>
      </w:r>
      <w:r>
        <w:rPr>
          <w:rFonts w:hint="default" w:ascii="Times New Roman" w:hAnsi="Times New Roman" w:cs="Times New Roman"/>
          <w:sz w:val="32"/>
          <w:szCs w:val="32"/>
          <w:lang w:eastAsia="zh-CN"/>
        </w:rPr>
        <w:t>常宁市胜桥镇渣石村乡村振兴，立项3个省域高水平楚怡专业群，会计信息管理专业国家级教学资源库顺利通过验收，完成招生4</w:t>
      </w:r>
      <w:r>
        <w:rPr>
          <w:rFonts w:hint="default" w:ascii="Times New Roman" w:hAnsi="Times New Roman" w:cs="Times New Roman"/>
          <w:sz w:val="32"/>
          <w:szCs w:val="32"/>
          <w:lang w:val="en-US" w:eastAsia="zh-CN"/>
        </w:rPr>
        <w:t>527</w:t>
      </w:r>
      <w:r>
        <w:rPr>
          <w:rFonts w:hint="default" w:ascii="Times New Roman" w:hAnsi="Times New Roman" w:cs="Times New Roman"/>
          <w:sz w:val="32"/>
          <w:szCs w:val="32"/>
          <w:lang w:eastAsia="zh-CN"/>
        </w:rPr>
        <w:t>人，新生到校率90%以上，组织开展</w:t>
      </w:r>
      <w:r>
        <w:rPr>
          <w:rFonts w:hint="default" w:ascii="Times New Roman" w:hAnsi="Times New Roman" w:cs="Times New Roman"/>
          <w:sz w:val="32"/>
          <w:szCs w:val="32"/>
          <w:lang w:val="en-US" w:eastAsia="zh-CN"/>
        </w:rPr>
        <w:t>了</w:t>
      </w:r>
      <w:r>
        <w:rPr>
          <w:rFonts w:hint="default" w:ascii="Times New Roman" w:hAnsi="Times New Roman" w:cs="Times New Roman"/>
          <w:sz w:val="32"/>
          <w:szCs w:val="32"/>
          <w:lang w:eastAsia="zh-CN"/>
        </w:rPr>
        <w:t>大学生创新创业大赛，毕业生初次就业率85%以上。</w:t>
      </w:r>
      <w:r>
        <w:rPr>
          <w:rFonts w:hint="default" w:ascii="Times New Roman" w:hAnsi="Times New Roman" w:cs="Times New Roman"/>
          <w:sz w:val="32"/>
          <w:szCs w:val="32"/>
          <w:lang w:val="en-US" w:eastAsia="zh-CN"/>
        </w:rPr>
        <w:t>但学院</w:t>
      </w:r>
      <w:r>
        <w:rPr>
          <w:rFonts w:hint="default" w:ascii="Times New Roman" w:hAnsi="Times New Roman" w:cs="Times New Roman"/>
          <w:sz w:val="32"/>
          <w:szCs w:val="32"/>
          <w:lang w:eastAsia="zh-CN"/>
        </w:rPr>
        <w:t>精品课程建设、教学资源库建设等教学与科学研究工作推进较慢，专业技能竞赛奖项数、毕业生本地就业率未达目标，东大门建设（东二环连接线）、校园道路提质、学生公寓改造及家具更换等工程进度缓慢。</w:t>
      </w:r>
    </w:p>
    <w:p w14:paraId="0CB5A0F2">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0"/>
        <w:jc w:val="both"/>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 xml:space="preserve">小结：“产出情况”维度， 满分 30 分，实际得分 </w:t>
      </w:r>
      <w:r>
        <w:rPr>
          <w:rFonts w:hint="default" w:ascii="Times New Roman" w:hAnsi="Times New Roman" w:eastAsia="楷体" w:cs="Times New Roman"/>
          <w:b/>
          <w:bCs/>
          <w:color w:val="auto"/>
          <w:sz w:val="32"/>
          <w:szCs w:val="32"/>
          <w:lang w:val="en-US" w:eastAsia="zh-CN"/>
        </w:rPr>
        <w:t>24.9</w:t>
      </w:r>
      <w:r>
        <w:rPr>
          <w:rFonts w:hint="default" w:ascii="Times New Roman" w:hAnsi="Times New Roman" w:eastAsia="楷体" w:cs="Times New Roman"/>
          <w:b/>
          <w:bCs/>
          <w:color w:val="auto"/>
          <w:sz w:val="32"/>
          <w:szCs w:val="32"/>
        </w:rPr>
        <w:t>分。</w:t>
      </w:r>
    </w:p>
    <w:p w14:paraId="78D165BA">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eastAsia="zh-CN"/>
        </w:rPr>
        <w:t>（四）</w:t>
      </w:r>
      <w:r>
        <w:rPr>
          <w:rFonts w:hint="eastAsia" w:ascii="楷体_GB2312" w:hAnsi="楷体_GB2312" w:eastAsia="楷体_GB2312" w:cs="楷体_GB2312"/>
          <w:b/>
          <w:bCs/>
          <w:color w:val="auto"/>
          <w:sz w:val="32"/>
          <w:szCs w:val="32"/>
        </w:rPr>
        <w:t>效果情况</w:t>
      </w:r>
    </w:p>
    <w:p w14:paraId="3EE1EE58">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根据</w:t>
      </w:r>
      <w:r>
        <w:rPr>
          <w:rFonts w:hint="default" w:ascii="Times New Roman" w:hAnsi="Times New Roman" w:cs="Times New Roman"/>
          <w:sz w:val="32"/>
          <w:szCs w:val="32"/>
          <w:lang w:eastAsia="zh-CN"/>
        </w:rPr>
        <w:t>财工院</w:t>
      </w:r>
      <w:r>
        <w:rPr>
          <w:rFonts w:hint="default" w:ascii="Times New Roman" w:hAnsi="Times New Roman" w:cs="Times New Roman"/>
          <w:sz w:val="32"/>
          <w:szCs w:val="32"/>
        </w:rPr>
        <w:t>实际情况，围绕</w:t>
      </w:r>
      <w:r>
        <w:rPr>
          <w:rFonts w:hint="default" w:ascii="Times New Roman" w:hAnsi="Times New Roman" w:cs="Times New Roman"/>
          <w:sz w:val="32"/>
          <w:szCs w:val="32"/>
          <w:lang w:eastAsia="zh-CN"/>
        </w:rPr>
        <w:t>“</w:t>
      </w:r>
      <w:r>
        <w:rPr>
          <w:rFonts w:hint="default" w:ascii="Times New Roman" w:hAnsi="Times New Roman" w:cs="Times New Roman"/>
          <w:sz w:val="32"/>
          <w:szCs w:val="32"/>
        </w:rPr>
        <w:t>经济效益</w:t>
      </w:r>
      <w:r>
        <w:rPr>
          <w:rFonts w:hint="default" w:ascii="Times New Roman" w:hAnsi="Times New Roman" w:cs="Times New Roman"/>
          <w:sz w:val="32"/>
          <w:szCs w:val="32"/>
          <w:lang w:eastAsia="zh-CN"/>
        </w:rPr>
        <w:t>”“</w:t>
      </w:r>
      <w:r>
        <w:rPr>
          <w:rFonts w:hint="default" w:ascii="Times New Roman" w:hAnsi="Times New Roman" w:cs="Times New Roman"/>
          <w:sz w:val="32"/>
          <w:szCs w:val="32"/>
        </w:rPr>
        <w:t>社会效益</w:t>
      </w:r>
      <w:r>
        <w:rPr>
          <w:rFonts w:hint="default" w:ascii="Times New Roman" w:hAnsi="Times New Roman" w:cs="Times New Roman"/>
          <w:sz w:val="32"/>
          <w:szCs w:val="32"/>
          <w:lang w:eastAsia="zh-CN"/>
        </w:rPr>
        <w:t>”“</w:t>
      </w:r>
      <w:r>
        <w:rPr>
          <w:rFonts w:hint="default" w:ascii="Times New Roman" w:hAnsi="Times New Roman" w:cs="Times New Roman"/>
          <w:sz w:val="32"/>
          <w:szCs w:val="32"/>
        </w:rPr>
        <w:t>社会公众或服务对象满意度</w:t>
      </w:r>
      <w:r>
        <w:rPr>
          <w:rFonts w:hint="default" w:ascii="Times New Roman" w:hAnsi="Times New Roman" w:cs="Times New Roman"/>
          <w:sz w:val="32"/>
          <w:szCs w:val="32"/>
          <w:lang w:eastAsia="zh-CN"/>
        </w:rPr>
        <w:t>”</w:t>
      </w:r>
      <w:r>
        <w:rPr>
          <w:rFonts w:hint="default" w:ascii="Times New Roman" w:hAnsi="Times New Roman" w:cs="Times New Roman"/>
          <w:kern w:val="2"/>
          <w:sz w:val="32"/>
          <w:szCs w:val="32"/>
          <w:lang w:val="en-US" w:eastAsia="zh-CN" w:bidi="ar-SA"/>
        </w:rPr>
        <w:t>方面，</w:t>
      </w:r>
      <w:r>
        <w:rPr>
          <w:rFonts w:hint="default" w:ascii="Times New Roman" w:hAnsi="Times New Roman" w:cs="Times New Roman"/>
          <w:sz w:val="32"/>
          <w:szCs w:val="32"/>
        </w:rPr>
        <w:t>分别设置社会服务创收利润</w:t>
      </w:r>
      <w:r>
        <w:rPr>
          <w:rFonts w:hint="default" w:ascii="Times New Roman" w:hAnsi="Times New Roman" w:cs="Times New Roman"/>
          <w:sz w:val="32"/>
          <w:szCs w:val="32"/>
          <w:lang w:eastAsia="zh-CN"/>
        </w:rPr>
        <w:t>、</w:t>
      </w:r>
      <w:r>
        <w:rPr>
          <w:rFonts w:hint="default" w:ascii="Times New Roman" w:hAnsi="Times New Roman" w:cs="Times New Roman"/>
          <w:sz w:val="32"/>
          <w:szCs w:val="32"/>
        </w:rPr>
        <w:t>上缴非税收入</w:t>
      </w:r>
      <w:r>
        <w:rPr>
          <w:rFonts w:hint="default" w:ascii="Times New Roman" w:hAnsi="Times New Roman" w:cs="Times New Roman"/>
          <w:sz w:val="32"/>
          <w:szCs w:val="32"/>
          <w:lang w:eastAsia="zh-CN"/>
        </w:rPr>
        <w:t>、</w:t>
      </w:r>
      <w:r>
        <w:rPr>
          <w:rFonts w:hint="default" w:ascii="Times New Roman" w:hAnsi="Times New Roman" w:cs="Times New Roman"/>
          <w:sz w:val="32"/>
          <w:szCs w:val="32"/>
        </w:rPr>
        <w:t>承接社会服务项目数</w:t>
      </w:r>
      <w:r>
        <w:rPr>
          <w:rFonts w:hint="default" w:ascii="Times New Roman" w:hAnsi="Times New Roman" w:cs="Times New Roman"/>
          <w:sz w:val="32"/>
          <w:szCs w:val="32"/>
          <w:lang w:eastAsia="zh-CN"/>
        </w:rPr>
        <w:t>、</w:t>
      </w:r>
      <w:r>
        <w:rPr>
          <w:rFonts w:hint="default" w:ascii="Times New Roman" w:hAnsi="Times New Roman" w:cs="Times New Roman"/>
          <w:sz w:val="32"/>
          <w:szCs w:val="32"/>
        </w:rPr>
        <w:t>毕业生本地就业创业率（服务地方经济）</w:t>
      </w:r>
      <w:r>
        <w:rPr>
          <w:rFonts w:hint="default" w:ascii="Times New Roman" w:hAnsi="Times New Roman" w:cs="Times New Roman"/>
          <w:sz w:val="32"/>
          <w:szCs w:val="32"/>
          <w:lang w:eastAsia="zh-CN"/>
        </w:rPr>
        <w:t>、</w:t>
      </w:r>
      <w:r>
        <w:rPr>
          <w:rFonts w:hint="default" w:ascii="Times New Roman" w:hAnsi="Times New Roman" w:cs="Times New Roman"/>
          <w:sz w:val="32"/>
          <w:szCs w:val="32"/>
        </w:rPr>
        <w:t>教师满意度</w:t>
      </w:r>
      <w:r>
        <w:rPr>
          <w:rFonts w:hint="default" w:ascii="Times New Roman" w:hAnsi="Times New Roman" w:cs="Times New Roman"/>
          <w:sz w:val="32"/>
          <w:szCs w:val="32"/>
          <w:lang w:eastAsia="zh-CN"/>
        </w:rPr>
        <w:t>、</w:t>
      </w:r>
      <w:r>
        <w:rPr>
          <w:rFonts w:hint="default" w:ascii="Times New Roman" w:hAnsi="Times New Roman" w:cs="Times New Roman"/>
          <w:sz w:val="32"/>
          <w:szCs w:val="32"/>
        </w:rPr>
        <w:t>学生满意度</w:t>
      </w:r>
      <w:r>
        <w:rPr>
          <w:rFonts w:hint="default" w:ascii="Times New Roman" w:hAnsi="Times New Roman" w:cs="Times New Roman"/>
          <w:sz w:val="32"/>
          <w:szCs w:val="32"/>
          <w:lang w:val="en-US" w:eastAsia="zh-CN"/>
        </w:rPr>
        <w:t>5个指标来评价</w:t>
      </w:r>
      <w:r>
        <w:rPr>
          <w:rFonts w:hint="default" w:ascii="Times New Roman" w:hAnsi="Times New Roman" w:cs="Times New Roman"/>
          <w:sz w:val="32"/>
          <w:szCs w:val="32"/>
          <w:lang w:eastAsia="zh-CN"/>
        </w:rPr>
        <w:t>财工院</w:t>
      </w:r>
      <w:r>
        <w:rPr>
          <w:rFonts w:hint="default" w:ascii="Times New Roman" w:hAnsi="Times New Roman" w:cs="Times New Roman"/>
          <w:sz w:val="32"/>
          <w:szCs w:val="32"/>
        </w:rPr>
        <w:t>绩效目标的实现效果。</w:t>
      </w:r>
    </w:p>
    <w:p w14:paraId="1BB08BD6">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3" w:firstLineChars="200"/>
        <w:jc w:val="both"/>
        <w:textAlignment w:val="auto"/>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1.履职效益方面（满分30分，得分23分）</w:t>
      </w:r>
    </w:p>
    <w:p w14:paraId="67E2530D">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（1）社会服务创收利润</w:t>
      </w:r>
    </w:p>
    <w:p w14:paraId="61B5EAA1">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lang w:eastAsia="zh-CN"/>
        </w:rPr>
      </w:pPr>
      <w:r>
        <w:rPr>
          <w:rFonts w:hint="default" w:ascii="Times New Roman" w:hAnsi="Times New Roman" w:cs="Times New Roman"/>
          <w:sz w:val="32"/>
          <w:szCs w:val="32"/>
        </w:rPr>
        <w:t>2022年度</w:t>
      </w: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社会服务创收利润534.17万元</w:t>
      </w: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超300万元的绩效目标</w:t>
      </w:r>
      <w:r>
        <w:rPr>
          <w:rFonts w:hint="default" w:ascii="Times New Roman" w:hAnsi="Times New Roman" w:cs="Times New Roman"/>
          <w:sz w:val="32"/>
          <w:szCs w:val="32"/>
          <w:lang w:eastAsia="zh-CN"/>
        </w:rPr>
        <w:t>。</w:t>
      </w:r>
    </w:p>
    <w:p w14:paraId="6338918B">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2</w:t>
      </w:r>
      <w:r>
        <w:rPr>
          <w:rFonts w:hint="default" w:ascii="Times New Roman" w:hAnsi="Times New Roman" w:cs="Times New Roman"/>
          <w:sz w:val="32"/>
          <w:szCs w:val="32"/>
          <w:lang w:eastAsia="zh-CN"/>
        </w:rPr>
        <w:t>）</w:t>
      </w:r>
      <w:r>
        <w:rPr>
          <w:rFonts w:hint="default" w:ascii="Times New Roman" w:hAnsi="Times New Roman" w:cs="Times New Roman"/>
          <w:sz w:val="32"/>
          <w:szCs w:val="32"/>
        </w:rPr>
        <w:t>上缴非税收入</w:t>
      </w:r>
    </w:p>
    <w:p w14:paraId="55C8567A">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2022年度</w:t>
      </w: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上缴非税收入7</w:t>
      </w:r>
      <w:r>
        <w:rPr>
          <w:rFonts w:hint="default" w:ascii="Times New Roman" w:hAnsi="Times New Roman" w:cs="Times New Roman"/>
          <w:sz w:val="32"/>
          <w:szCs w:val="32"/>
          <w:lang w:val="en-US" w:eastAsia="zh-CN"/>
        </w:rPr>
        <w:t>,</w:t>
      </w:r>
      <w:r>
        <w:rPr>
          <w:rFonts w:hint="default" w:ascii="Times New Roman" w:hAnsi="Times New Roman" w:cs="Times New Roman"/>
          <w:sz w:val="32"/>
          <w:szCs w:val="32"/>
        </w:rPr>
        <w:t>088.84万元</w:t>
      </w: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超5000万元的绩效目标</w:t>
      </w:r>
      <w:r>
        <w:rPr>
          <w:rFonts w:hint="default" w:ascii="Times New Roman" w:hAnsi="Times New Roman" w:cs="Times New Roman"/>
          <w:sz w:val="32"/>
          <w:szCs w:val="32"/>
        </w:rPr>
        <w:t>。</w:t>
      </w:r>
    </w:p>
    <w:p w14:paraId="170BC62D">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3</w:t>
      </w:r>
      <w:r>
        <w:rPr>
          <w:rFonts w:hint="default" w:ascii="Times New Roman" w:hAnsi="Times New Roman" w:cs="Times New Roman"/>
          <w:sz w:val="32"/>
          <w:szCs w:val="32"/>
          <w:lang w:eastAsia="zh-CN"/>
        </w:rPr>
        <w:t>）</w:t>
      </w:r>
      <w:r>
        <w:rPr>
          <w:rFonts w:hint="default" w:ascii="Times New Roman" w:hAnsi="Times New Roman" w:cs="Times New Roman"/>
          <w:sz w:val="32"/>
          <w:szCs w:val="32"/>
        </w:rPr>
        <w:t>承接社会服务项目数</w:t>
      </w:r>
    </w:p>
    <w:p w14:paraId="39DE259E">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2022年度</w:t>
      </w: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承接社会服务项目数25项，其中社会培训项目12项、社会性考试项目13项，充分地利用了学校教学资源与软硬件条件很好地服务了本地经济事业的发展。</w:t>
      </w:r>
    </w:p>
    <w:p w14:paraId="0B536B33">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4</w:t>
      </w:r>
      <w:r>
        <w:rPr>
          <w:rFonts w:hint="default" w:ascii="Times New Roman" w:hAnsi="Times New Roman" w:cs="Times New Roman"/>
          <w:sz w:val="32"/>
          <w:szCs w:val="32"/>
          <w:lang w:eastAsia="zh-CN"/>
        </w:rPr>
        <w:t>）</w:t>
      </w:r>
      <w:r>
        <w:rPr>
          <w:rFonts w:hint="default" w:ascii="Times New Roman" w:hAnsi="Times New Roman" w:cs="Times New Roman"/>
          <w:sz w:val="32"/>
          <w:szCs w:val="32"/>
        </w:rPr>
        <w:t>毕业生本地就业创业率（服务地方经济）</w:t>
      </w:r>
    </w:p>
    <w:p w14:paraId="73B554C7">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2022年度</w:t>
      </w:r>
      <w:r>
        <w:rPr>
          <w:rFonts w:hint="default" w:ascii="Times New Roman" w:hAnsi="Times New Roman" w:cs="Times New Roman"/>
          <w:sz w:val="32"/>
          <w:szCs w:val="32"/>
          <w:lang w:val="en-US" w:eastAsia="zh-CN"/>
        </w:rPr>
        <w:t>财工院</w:t>
      </w:r>
      <w:r>
        <w:rPr>
          <w:rFonts w:hint="default" w:ascii="Times New Roman" w:hAnsi="Times New Roman" w:cs="Times New Roman"/>
          <w:sz w:val="32"/>
          <w:szCs w:val="32"/>
        </w:rPr>
        <w:t>毕业生本地就业创业率44.74%，较好地支持了本地经济的发展，但未达年初制定的50%目标值。</w:t>
      </w:r>
    </w:p>
    <w:p w14:paraId="087EAA76">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w:t>
      </w:r>
      <w:r>
        <w:rPr>
          <w:rFonts w:hint="default" w:ascii="Times New Roman" w:hAnsi="Times New Roman" w:cs="Times New Roman"/>
          <w:color w:val="auto"/>
          <w:sz w:val="32"/>
          <w:szCs w:val="32"/>
          <w:lang w:val="en-US" w:eastAsia="zh-CN"/>
        </w:rPr>
        <w:t>5</w:t>
      </w:r>
      <w:r>
        <w:rPr>
          <w:rFonts w:hint="default" w:ascii="Times New Roman" w:hAnsi="Times New Roman" w:cs="Times New Roman"/>
          <w:color w:val="auto"/>
          <w:sz w:val="32"/>
          <w:szCs w:val="32"/>
        </w:rPr>
        <w:t>）教师满意度调查</w:t>
      </w:r>
    </w:p>
    <w:p w14:paraId="495D7BB4">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评价工作组对</w:t>
      </w:r>
      <w:r>
        <w:rPr>
          <w:rFonts w:hint="default" w:ascii="Times New Roman" w:hAnsi="Times New Roman" w:eastAsia="仿宋_GB2312" w:cs="Times New Roman"/>
          <w:color w:val="auto"/>
          <w:sz w:val="32"/>
          <w:szCs w:val="32"/>
          <w:lang w:eastAsia="zh-CN"/>
        </w:rPr>
        <w:t>财工院</w:t>
      </w:r>
      <w:r>
        <w:rPr>
          <w:rFonts w:hint="default" w:ascii="Times New Roman" w:hAnsi="Times New Roman" w:eastAsia="仿宋_GB2312" w:cs="Times New Roman"/>
          <w:color w:val="auto"/>
          <w:sz w:val="32"/>
          <w:szCs w:val="32"/>
        </w:rPr>
        <w:t>的</w:t>
      </w:r>
      <w:r>
        <w:rPr>
          <w:rFonts w:hint="default" w:ascii="Times New Roman" w:hAnsi="Times New Roman" w:eastAsia="仿宋_GB2312" w:cs="Times New Roman"/>
          <w:color w:val="auto"/>
          <w:sz w:val="32"/>
          <w:szCs w:val="32"/>
          <w:lang w:val="en-US" w:eastAsia="zh-CN"/>
        </w:rPr>
        <w:t>教学</w:t>
      </w:r>
      <w:r>
        <w:rPr>
          <w:rFonts w:hint="default" w:ascii="Times New Roman" w:hAnsi="Times New Roman" w:eastAsia="仿宋_GB2312" w:cs="Times New Roman"/>
          <w:color w:val="auto"/>
          <w:sz w:val="32"/>
          <w:szCs w:val="32"/>
        </w:rPr>
        <w:t>设施设备配备、</w:t>
      </w:r>
      <w:r>
        <w:rPr>
          <w:rFonts w:hint="default" w:ascii="Times New Roman" w:hAnsi="Times New Roman" w:eastAsia="仿宋_GB2312" w:cs="Times New Roman"/>
          <w:color w:val="auto"/>
          <w:sz w:val="32"/>
          <w:szCs w:val="32"/>
          <w:lang w:val="en-US" w:eastAsia="zh-CN"/>
        </w:rPr>
        <w:t>资产管理配置</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图书馆和信息化建设</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创新创业、预算管理</w:t>
      </w:r>
      <w:r>
        <w:rPr>
          <w:rFonts w:hint="default" w:ascii="Times New Roman" w:hAnsi="Times New Roman" w:eastAsia="仿宋_GB2312" w:cs="Times New Roman"/>
          <w:color w:val="auto"/>
          <w:sz w:val="32"/>
          <w:szCs w:val="32"/>
        </w:rPr>
        <w:t>及</w:t>
      </w:r>
      <w:r>
        <w:rPr>
          <w:rFonts w:hint="default" w:ascii="Times New Roman" w:hAnsi="Times New Roman" w:eastAsia="仿宋_GB2312" w:cs="Times New Roman"/>
          <w:color w:val="auto"/>
          <w:sz w:val="32"/>
          <w:szCs w:val="32"/>
          <w:lang w:val="en-US" w:eastAsia="zh-CN"/>
        </w:rPr>
        <w:t>教工食堂</w:t>
      </w:r>
      <w:r>
        <w:rPr>
          <w:rFonts w:hint="default" w:ascii="Times New Roman" w:hAnsi="Times New Roman" w:eastAsia="仿宋_GB2312" w:cs="Times New Roman"/>
          <w:color w:val="auto"/>
          <w:sz w:val="32"/>
          <w:szCs w:val="32"/>
        </w:rPr>
        <w:t>等工作方面设置调查问卷，对教职工发放调查问卷开展满意度调查</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共</w:t>
      </w:r>
      <w:r>
        <w:rPr>
          <w:rFonts w:hint="default" w:ascii="Times New Roman" w:hAnsi="Times New Roman" w:eastAsia="仿宋_GB2312" w:cs="Times New Roman"/>
          <w:color w:val="auto"/>
          <w:sz w:val="32"/>
          <w:szCs w:val="32"/>
        </w:rPr>
        <w:t>收回有效问卷</w:t>
      </w:r>
      <w:r>
        <w:rPr>
          <w:rFonts w:hint="default" w:ascii="Times New Roman" w:hAnsi="Times New Roman" w:eastAsia="仿宋_GB2312" w:cs="Times New Roman"/>
          <w:color w:val="auto"/>
          <w:sz w:val="32"/>
          <w:szCs w:val="32"/>
          <w:lang w:val="en-US" w:eastAsia="zh-CN"/>
        </w:rPr>
        <w:t>136</w:t>
      </w:r>
      <w:r>
        <w:rPr>
          <w:rFonts w:hint="default" w:ascii="Times New Roman" w:hAnsi="Times New Roman" w:eastAsia="仿宋_GB2312" w:cs="Times New Roman"/>
          <w:color w:val="auto"/>
          <w:sz w:val="32"/>
          <w:szCs w:val="32"/>
        </w:rPr>
        <w:t>份</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教师综合</w:t>
      </w:r>
      <w:r>
        <w:rPr>
          <w:rFonts w:hint="default" w:ascii="Times New Roman" w:hAnsi="Times New Roman" w:eastAsia="仿宋_GB2312" w:cs="Times New Roman"/>
          <w:color w:val="auto"/>
          <w:sz w:val="32"/>
          <w:szCs w:val="32"/>
        </w:rPr>
        <w:t>满意度</w:t>
      </w:r>
      <w:r>
        <w:rPr>
          <w:rFonts w:hint="default" w:ascii="Times New Roman" w:hAnsi="Times New Roman" w:eastAsia="仿宋_GB2312" w:cs="Times New Roman"/>
          <w:color w:val="auto"/>
          <w:sz w:val="32"/>
          <w:szCs w:val="32"/>
          <w:lang w:val="en-US" w:eastAsia="zh-CN"/>
        </w:rPr>
        <w:t>为84.10</w:t>
      </w:r>
      <w:r>
        <w:rPr>
          <w:rFonts w:hint="default" w:ascii="Times New Roman" w:hAnsi="Times New Roman" w:eastAsia="仿宋_GB2312" w:cs="Times New Roman"/>
          <w:color w:val="auto"/>
          <w:sz w:val="32"/>
          <w:szCs w:val="32"/>
        </w:rPr>
        <w:t>%，整体满意度不高。调查结果显示，教职工普遍对学校以下方面提出改进意见：加大教学设施设备投入，改善教学硬件条件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规范资产配置</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考虑各院系</w:t>
      </w:r>
      <w:r>
        <w:rPr>
          <w:rFonts w:hint="default" w:ascii="Times New Roman" w:hAnsi="Times New Roman" w:eastAsia="仿宋_GB2312" w:cs="Times New Roman"/>
          <w:color w:val="auto"/>
          <w:sz w:val="32"/>
          <w:szCs w:val="32"/>
          <w:lang w:val="en-US" w:eastAsia="zh-CN"/>
        </w:rPr>
        <w:t>间</w:t>
      </w:r>
      <w:r>
        <w:rPr>
          <w:rFonts w:hint="default" w:ascii="Times New Roman" w:hAnsi="Times New Roman" w:eastAsia="仿宋_GB2312" w:cs="Times New Roman"/>
          <w:color w:val="auto"/>
          <w:sz w:val="32"/>
          <w:szCs w:val="32"/>
        </w:rPr>
        <w:t>的平衡发展</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提高对年轻干部的培训，培养年轻干部</w:t>
      </w:r>
      <w:r>
        <w:rPr>
          <w:rFonts w:hint="default" w:ascii="Times New Roman" w:hAnsi="Times New Roman" w:eastAsia="仿宋_GB2312" w:cs="Times New Roman"/>
          <w:color w:val="auto"/>
          <w:sz w:val="32"/>
          <w:szCs w:val="32"/>
          <w:lang w:val="en-US" w:eastAsia="zh-CN"/>
        </w:rPr>
        <w:t>的</w:t>
      </w:r>
      <w:r>
        <w:rPr>
          <w:rFonts w:hint="default" w:ascii="Times New Roman" w:hAnsi="Times New Roman" w:eastAsia="仿宋_GB2312" w:cs="Times New Roman"/>
          <w:color w:val="auto"/>
          <w:sz w:val="32"/>
          <w:szCs w:val="32"/>
        </w:rPr>
        <w:t>见识</w:t>
      </w:r>
      <w:r>
        <w:rPr>
          <w:rFonts w:hint="default" w:ascii="Times New Roman" w:hAnsi="Times New Roman" w:eastAsia="仿宋_GB2312" w:cs="Times New Roman"/>
          <w:color w:val="auto"/>
          <w:sz w:val="32"/>
          <w:szCs w:val="32"/>
          <w:lang w:val="en-US" w:eastAsia="zh-CN"/>
        </w:rPr>
        <w:t>和</w:t>
      </w:r>
      <w:r>
        <w:rPr>
          <w:rFonts w:hint="default" w:ascii="Times New Roman" w:hAnsi="Times New Roman" w:eastAsia="仿宋_GB2312" w:cs="Times New Roman"/>
          <w:color w:val="auto"/>
          <w:sz w:val="32"/>
          <w:szCs w:val="32"/>
        </w:rPr>
        <w:t>责任感</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加强</w:t>
      </w:r>
      <w:r>
        <w:rPr>
          <w:rFonts w:hint="default" w:ascii="Times New Roman" w:hAnsi="Times New Roman" w:eastAsia="仿宋_GB2312" w:cs="Times New Roman"/>
          <w:color w:val="auto"/>
          <w:sz w:val="32"/>
          <w:szCs w:val="32"/>
          <w:lang w:val="en-US" w:eastAsia="zh-CN"/>
        </w:rPr>
        <w:t>体育</w:t>
      </w:r>
      <w:r>
        <w:rPr>
          <w:rFonts w:hint="default" w:ascii="Times New Roman" w:hAnsi="Times New Roman" w:eastAsia="仿宋_GB2312" w:cs="Times New Roman"/>
          <w:color w:val="auto"/>
          <w:sz w:val="32"/>
          <w:szCs w:val="32"/>
        </w:rPr>
        <w:t>娱乐设施建设</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提高</w:t>
      </w:r>
      <w:r>
        <w:rPr>
          <w:rFonts w:hint="default" w:ascii="Times New Roman" w:hAnsi="Times New Roman" w:eastAsia="仿宋_GB2312" w:cs="Times New Roman"/>
          <w:color w:val="auto"/>
          <w:sz w:val="32"/>
          <w:szCs w:val="32"/>
          <w:lang w:val="en-US" w:eastAsia="zh-CN"/>
        </w:rPr>
        <w:t>教工食堂</w:t>
      </w:r>
      <w:r>
        <w:rPr>
          <w:rFonts w:hint="default" w:ascii="Times New Roman" w:hAnsi="Times New Roman" w:eastAsia="仿宋_GB2312" w:cs="Times New Roman"/>
          <w:color w:val="auto"/>
          <w:sz w:val="32"/>
          <w:szCs w:val="32"/>
        </w:rPr>
        <w:t>菜品</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延长早餐开放时间；</w:t>
      </w:r>
      <w:r>
        <w:rPr>
          <w:rFonts w:hint="default" w:ascii="Times New Roman" w:hAnsi="Times New Roman" w:eastAsia="仿宋_GB2312" w:cs="Times New Roman"/>
          <w:color w:val="auto"/>
          <w:sz w:val="32"/>
          <w:szCs w:val="32"/>
          <w:lang w:eastAsia="zh-CN"/>
        </w:rPr>
        <w:t>缩</w:t>
      </w:r>
      <w:r>
        <w:rPr>
          <w:rFonts w:hint="default" w:ascii="Times New Roman" w:hAnsi="Times New Roman" w:eastAsia="仿宋_GB2312" w:cs="Times New Roman"/>
          <w:color w:val="auto"/>
          <w:sz w:val="32"/>
          <w:szCs w:val="32"/>
        </w:rPr>
        <w:t>短办事时效，提高办事效率</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合理</w:t>
      </w:r>
      <w:r>
        <w:rPr>
          <w:rFonts w:hint="default" w:ascii="Times New Roman" w:hAnsi="Times New Roman" w:eastAsia="仿宋_GB2312" w:cs="Times New Roman"/>
          <w:color w:val="auto"/>
          <w:sz w:val="32"/>
          <w:szCs w:val="32"/>
          <w:lang w:val="en-US" w:eastAsia="zh-CN"/>
        </w:rPr>
        <w:t>分配</w:t>
      </w:r>
      <w:r>
        <w:rPr>
          <w:rFonts w:hint="default" w:ascii="Times New Roman" w:hAnsi="Times New Roman" w:eastAsia="仿宋_GB2312" w:cs="Times New Roman"/>
          <w:color w:val="auto"/>
          <w:sz w:val="32"/>
          <w:szCs w:val="32"/>
        </w:rPr>
        <w:t>工作量</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提倡节约意识，加强水电节约管理</w:t>
      </w:r>
      <w:r>
        <w:rPr>
          <w:rFonts w:hint="default" w:ascii="Times New Roman" w:hAnsi="Times New Roman" w:eastAsia="仿宋_GB2312" w:cs="Times New Roman"/>
          <w:color w:val="auto"/>
          <w:sz w:val="32"/>
          <w:szCs w:val="32"/>
          <w:lang w:val="en-US" w:eastAsia="zh-CN"/>
        </w:rPr>
        <w:t>等。</w:t>
      </w:r>
    </w:p>
    <w:p w14:paraId="15A00ACE">
      <w:pPr>
        <w:pStyle w:val="2"/>
        <w:keepNext w:val="0"/>
        <w:keepLines w:val="0"/>
        <w:pageBreakBefore w:val="0"/>
        <w:widowControl w:val="0"/>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w:t>
      </w:r>
      <w:r>
        <w:rPr>
          <w:rFonts w:hint="default" w:ascii="Times New Roman" w:hAnsi="Times New Roman" w:cs="Times New Roman"/>
          <w:color w:val="auto"/>
          <w:sz w:val="32"/>
          <w:szCs w:val="32"/>
          <w:lang w:val="en-US" w:eastAsia="zh-CN"/>
        </w:rPr>
        <w:t>6</w:t>
      </w:r>
      <w:r>
        <w:rPr>
          <w:rFonts w:hint="default" w:ascii="Times New Roman" w:hAnsi="Times New Roman" w:cs="Times New Roman"/>
          <w:color w:val="auto"/>
          <w:sz w:val="32"/>
          <w:szCs w:val="32"/>
        </w:rPr>
        <w:t>）</w:t>
      </w:r>
      <w:r>
        <w:rPr>
          <w:rFonts w:hint="default" w:ascii="Times New Roman" w:hAnsi="Times New Roman" w:cs="Times New Roman"/>
          <w:color w:val="auto"/>
          <w:sz w:val="32"/>
          <w:szCs w:val="32"/>
          <w:lang w:val="en-US" w:eastAsia="zh-CN"/>
        </w:rPr>
        <w:t>学生</w:t>
      </w:r>
      <w:r>
        <w:rPr>
          <w:rFonts w:hint="default" w:ascii="Times New Roman" w:hAnsi="Times New Roman" w:cs="Times New Roman"/>
          <w:color w:val="auto"/>
          <w:sz w:val="32"/>
          <w:szCs w:val="32"/>
        </w:rPr>
        <w:t>满意度调查</w:t>
      </w:r>
    </w:p>
    <w:p w14:paraId="5F5660B3">
      <w:pPr>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评价工作组对</w:t>
      </w:r>
      <w:r>
        <w:rPr>
          <w:rFonts w:hint="default" w:ascii="Times New Roman" w:hAnsi="Times New Roman" w:eastAsia="仿宋_GB2312" w:cs="Times New Roman"/>
          <w:color w:val="auto"/>
          <w:sz w:val="32"/>
          <w:szCs w:val="32"/>
          <w:lang w:eastAsia="zh-CN"/>
        </w:rPr>
        <w:t>财工院</w:t>
      </w:r>
      <w:r>
        <w:rPr>
          <w:rFonts w:hint="default" w:ascii="Times New Roman" w:hAnsi="Times New Roman" w:eastAsia="仿宋_GB2312" w:cs="Times New Roman"/>
          <w:color w:val="auto"/>
          <w:sz w:val="32"/>
          <w:szCs w:val="32"/>
        </w:rPr>
        <w:t>的</w:t>
      </w:r>
      <w:r>
        <w:rPr>
          <w:rFonts w:hint="default" w:ascii="Times New Roman" w:hAnsi="Times New Roman" w:eastAsia="仿宋_GB2312" w:cs="Times New Roman"/>
          <w:color w:val="auto"/>
          <w:sz w:val="32"/>
          <w:szCs w:val="32"/>
          <w:lang w:val="en-US" w:eastAsia="zh-CN"/>
        </w:rPr>
        <w:t>教师教学水平</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教学设施设备、专业课程设置</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举办的校园活动</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奖勤助贷款项的认定和发放、学生食堂伙食和服务、宿舍管理、反映意见的回馈</w:t>
      </w:r>
      <w:r>
        <w:rPr>
          <w:rFonts w:hint="default" w:ascii="Times New Roman" w:hAnsi="Times New Roman" w:eastAsia="仿宋_GB2312" w:cs="Times New Roman"/>
          <w:color w:val="auto"/>
          <w:sz w:val="32"/>
          <w:szCs w:val="32"/>
        </w:rPr>
        <w:t>等工作方面设置调查问卷，对</w:t>
      </w:r>
      <w:r>
        <w:rPr>
          <w:rFonts w:hint="default" w:ascii="Times New Roman" w:hAnsi="Times New Roman" w:eastAsia="仿宋_GB2312" w:cs="Times New Roman"/>
          <w:color w:val="auto"/>
          <w:sz w:val="32"/>
          <w:szCs w:val="32"/>
          <w:lang w:val="en-US" w:eastAsia="zh-CN"/>
        </w:rPr>
        <w:t>学生采用网络发放</w:t>
      </w:r>
      <w:r>
        <w:rPr>
          <w:rFonts w:hint="default" w:ascii="Times New Roman" w:hAnsi="Times New Roman" w:eastAsia="仿宋_GB2312" w:cs="Times New Roman"/>
          <w:color w:val="auto"/>
          <w:sz w:val="32"/>
          <w:szCs w:val="32"/>
        </w:rPr>
        <w:t>调查问卷</w:t>
      </w:r>
      <w:r>
        <w:rPr>
          <w:rFonts w:hint="default" w:ascii="Times New Roman" w:hAnsi="Times New Roman" w:eastAsia="仿宋_GB2312" w:cs="Times New Roman"/>
          <w:color w:val="auto"/>
          <w:sz w:val="32"/>
          <w:szCs w:val="32"/>
          <w:lang w:val="en-US" w:eastAsia="zh-CN"/>
        </w:rPr>
        <w:t>的方式</w:t>
      </w:r>
      <w:r>
        <w:rPr>
          <w:rFonts w:hint="default" w:ascii="Times New Roman" w:hAnsi="Times New Roman" w:eastAsia="仿宋_GB2312" w:cs="Times New Roman"/>
          <w:color w:val="auto"/>
          <w:sz w:val="32"/>
          <w:szCs w:val="32"/>
        </w:rPr>
        <w:t>开展满意度调查</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共</w:t>
      </w:r>
      <w:r>
        <w:rPr>
          <w:rFonts w:hint="default" w:ascii="Times New Roman" w:hAnsi="Times New Roman" w:eastAsia="仿宋_GB2312" w:cs="Times New Roman"/>
          <w:color w:val="auto"/>
          <w:sz w:val="32"/>
          <w:szCs w:val="32"/>
        </w:rPr>
        <w:t>收回有效问卷</w:t>
      </w:r>
      <w:r>
        <w:rPr>
          <w:rFonts w:hint="default" w:ascii="Times New Roman" w:hAnsi="Times New Roman" w:eastAsia="仿宋_GB2312" w:cs="Times New Roman"/>
          <w:color w:val="auto"/>
          <w:sz w:val="32"/>
          <w:szCs w:val="32"/>
          <w:lang w:val="en-US" w:eastAsia="zh-CN"/>
        </w:rPr>
        <w:t>1613</w:t>
      </w:r>
      <w:r>
        <w:rPr>
          <w:rFonts w:hint="default" w:ascii="Times New Roman" w:hAnsi="Times New Roman" w:eastAsia="仿宋_GB2312" w:cs="Times New Roman"/>
          <w:color w:val="auto"/>
          <w:sz w:val="32"/>
          <w:szCs w:val="32"/>
        </w:rPr>
        <w:t>份</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学生综合</w:t>
      </w:r>
      <w:r>
        <w:rPr>
          <w:rFonts w:hint="default" w:ascii="Times New Roman" w:hAnsi="Times New Roman" w:eastAsia="仿宋_GB2312" w:cs="Times New Roman"/>
          <w:color w:val="auto"/>
          <w:sz w:val="32"/>
          <w:szCs w:val="32"/>
        </w:rPr>
        <w:t>满意度</w:t>
      </w:r>
      <w:r>
        <w:rPr>
          <w:rFonts w:hint="default" w:ascii="Times New Roman" w:hAnsi="Times New Roman" w:eastAsia="仿宋_GB2312" w:cs="Times New Roman"/>
          <w:color w:val="auto"/>
          <w:sz w:val="32"/>
          <w:szCs w:val="32"/>
          <w:lang w:val="en-US" w:eastAsia="zh-CN"/>
        </w:rPr>
        <w:t>为85.49</w:t>
      </w:r>
      <w:r>
        <w:rPr>
          <w:rFonts w:hint="default" w:ascii="Times New Roman" w:hAnsi="Times New Roman" w:eastAsia="仿宋_GB2312" w:cs="Times New Roman"/>
          <w:color w:val="auto"/>
          <w:sz w:val="32"/>
          <w:szCs w:val="32"/>
        </w:rPr>
        <w:t>%，整体满意度不高。调查结果显示，</w:t>
      </w:r>
      <w:r>
        <w:rPr>
          <w:rFonts w:hint="default" w:ascii="Times New Roman" w:hAnsi="Times New Roman" w:eastAsia="仿宋_GB2312" w:cs="Times New Roman"/>
          <w:color w:val="auto"/>
          <w:sz w:val="32"/>
          <w:szCs w:val="32"/>
          <w:lang w:val="en-US" w:eastAsia="zh-CN"/>
        </w:rPr>
        <w:t>学生</w:t>
      </w:r>
      <w:r>
        <w:rPr>
          <w:rFonts w:hint="default" w:ascii="Times New Roman" w:hAnsi="Times New Roman" w:eastAsia="仿宋_GB2312" w:cs="Times New Roman"/>
          <w:color w:val="auto"/>
          <w:sz w:val="32"/>
          <w:szCs w:val="32"/>
        </w:rPr>
        <w:t>普遍对学校以下方面提出改进意见：改善宿舍环境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不要频繁搬宿舍</w:t>
      </w:r>
      <w:r>
        <w:rPr>
          <w:rFonts w:hint="default" w:ascii="Times New Roman" w:hAnsi="Times New Roman" w:eastAsia="仿宋_GB2312" w:cs="Times New Roman"/>
          <w:color w:val="auto"/>
          <w:sz w:val="32"/>
          <w:szCs w:val="32"/>
          <w:lang w:eastAsia="zh-CN"/>
        </w:rPr>
        <w:t>；提高</w:t>
      </w:r>
      <w:r>
        <w:rPr>
          <w:rFonts w:hint="default" w:ascii="Times New Roman" w:hAnsi="Times New Roman" w:eastAsia="仿宋_GB2312" w:cs="Times New Roman"/>
          <w:color w:val="auto"/>
          <w:sz w:val="32"/>
          <w:szCs w:val="32"/>
          <w:lang w:val="en-US" w:eastAsia="zh-CN"/>
        </w:rPr>
        <w:t>食堂</w:t>
      </w:r>
      <w:r>
        <w:rPr>
          <w:rFonts w:hint="default" w:ascii="Times New Roman" w:hAnsi="Times New Roman" w:eastAsia="仿宋_GB2312" w:cs="Times New Roman"/>
          <w:color w:val="auto"/>
          <w:sz w:val="32"/>
          <w:szCs w:val="32"/>
          <w:lang w:eastAsia="zh-CN"/>
        </w:rPr>
        <w:t>饮食质量、</w:t>
      </w:r>
      <w:r>
        <w:rPr>
          <w:rFonts w:hint="default" w:ascii="Times New Roman" w:hAnsi="Times New Roman" w:eastAsia="仿宋_GB2312" w:cs="Times New Roman"/>
          <w:color w:val="auto"/>
          <w:sz w:val="32"/>
          <w:szCs w:val="32"/>
          <w:lang w:val="en-US" w:eastAsia="zh-CN"/>
        </w:rPr>
        <w:t>卫生和食堂人员服务态度；教室太热，教学楼需要安装空调；增加各类课外活动，活动参与尊重学生个人意愿；减少停水停电次数；改善学校环境，完善学校设施等。</w:t>
      </w:r>
    </w:p>
    <w:p w14:paraId="2C0FDC0E">
      <w:pPr>
        <w:pageBreakBefore w:val="0"/>
        <w:kinsoku/>
        <w:wordWrap/>
        <w:overflowPunct/>
        <w:topLinePunct w:val="0"/>
        <w:autoSpaceDE/>
        <w:autoSpaceDN/>
        <w:bidi w:val="0"/>
        <w:adjustRightInd/>
        <w:snapToGrid/>
        <w:spacing w:beforeAutospacing="0" w:afterAutospacing="0" w:line="580" w:lineRule="exact"/>
        <w:ind w:left="0" w:leftChars="0"/>
        <w:jc w:val="both"/>
        <w:textAlignment w:val="auto"/>
        <w:rPr>
          <w:rFonts w:hint="default" w:ascii="Times New Roman" w:hAnsi="Times New Roman" w:eastAsia="楷体" w:cs="Times New Roman"/>
          <w:b/>
          <w:bCs/>
          <w:spacing w:val="-17"/>
          <w:sz w:val="32"/>
          <w:szCs w:val="32"/>
        </w:rPr>
      </w:pPr>
      <w:r>
        <w:rPr>
          <w:rFonts w:hint="default" w:ascii="Times New Roman" w:hAnsi="Times New Roman" w:eastAsia="楷体" w:cs="Times New Roman"/>
          <w:b/>
          <w:bCs/>
          <w:spacing w:val="-23"/>
          <w:sz w:val="32"/>
          <w:szCs w:val="32"/>
        </w:rPr>
        <w:t>小</w:t>
      </w:r>
      <w:r>
        <w:rPr>
          <w:rFonts w:hint="default" w:ascii="Times New Roman" w:hAnsi="Times New Roman" w:eastAsia="楷体" w:cs="Times New Roman"/>
          <w:b/>
          <w:bCs/>
          <w:spacing w:val="-17"/>
          <w:sz w:val="32"/>
          <w:szCs w:val="32"/>
        </w:rPr>
        <w:t>结：“效果情况” 维度， 满分 30 分，实际得分 2</w:t>
      </w:r>
      <w:r>
        <w:rPr>
          <w:rFonts w:hint="default" w:ascii="Times New Roman" w:hAnsi="Times New Roman" w:eastAsia="楷体" w:cs="Times New Roman"/>
          <w:b/>
          <w:bCs/>
          <w:spacing w:val="-17"/>
          <w:sz w:val="32"/>
          <w:szCs w:val="32"/>
          <w:lang w:val="en-US" w:eastAsia="zh-CN"/>
        </w:rPr>
        <w:t>3</w:t>
      </w:r>
      <w:r>
        <w:rPr>
          <w:rFonts w:hint="default" w:ascii="Times New Roman" w:hAnsi="Times New Roman" w:eastAsia="楷体" w:cs="Times New Roman"/>
          <w:b/>
          <w:bCs/>
          <w:spacing w:val="-17"/>
          <w:sz w:val="32"/>
          <w:szCs w:val="32"/>
        </w:rPr>
        <w:t>分。</w:t>
      </w:r>
    </w:p>
    <w:p w14:paraId="7618AE42">
      <w:pPr>
        <w:pageBreakBefore w:val="0"/>
        <w:widowControl w:val="0"/>
        <w:kinsoku/>
        <w:wordWrap/>
        <w:overflowPunct/>
        <w:topLinePunct w:val="0"/>
        <w:autoSpaceDE/>
        <w:autoSpaceDN/>
        <w:bidi w:val="0"/>
        <w:adjustRightInd/>
        <w:snapToGrid/>
        <w:spacing w:beforeAutospacing="0" w:afterAutospacing="0" w:line="580" w:lineRule="exact"/>
        <w:ind w:left="0" w:leftChars="0" w:firstLine="632" w:firstLineChars="200"/>
        <w:jc w:val="both"/>
        <w:textAlignment w:val="auto"/>
        <w:rPr>
          <w:rFonts w:hint="default" w:ascii="Times New Roman" w:hAnsi="Times New Roman" w:eastAsia="黑体" w:cs="Times New Roman"/>
          <w:b w:val="0"/>
          <w:bCs w:val="0"/>
          <w:color w:val="auto"/>
          <w:sz w:val="32"/>
          <w:szCs w:val="32"/>
        </w:rPr>
      </w:pPr>
      <w:r>
        <w:rPr>
          <w:rFonts w:hint="default" w:ascii="Times New Roman" w:hAnsi="Times New Roman" w:eastAsia="黑体" w:cs="Times New Roman"/>
          <w:b w:val="0"/>
          <w:bCs w:val="0"/>
          <w:color w:val="auto"/>
          <w:spacing w:val="-2"/>
          <w:sz w:val="32"/>
          <w:szCs w:val="32"/>
          <w:lang w:val="en-US" w:eastAsia="zh-CN"/>
        </w:rPr>
        <w:t>六</w:t>
      </w:r>
      <w:r>
        <w:rPr>
          <w:rFonts w:hint="default" w:ascii="Times New Roman" w:hAnsi="Times New Roman" w:eastAsia="黑体" w:cs="Times New Roman"/>
          <w:b w:val="0"/>
          <w:bCs w:val="0"/>
          <w:color w:val="auto"/>
          <w:spacing w:val="-2"/>
          <w:sz w:val="32"/>
          <w:szCs w:val="32"/>
        </w:rPr>
        <w:t>、综</w:t>
      </w:r>
      <w:r>
        <w:rPr>
          <w:rFonts w:hint="default" w:ascii="Times New Roman" w:hAnsi="Times New Roman" w:eastAsia="黑体" w:cs="Times New Roman"/>
          <w:b w:val="0"/>
          <w:bCs w:val="0"/>
          <w:color w:val="auto"/>
          <w:spacing w:val="-1"/>
          <w:sz w:val="32"/>
          <w:szCs w:val="32"/>
        </w:rPr>
        <w:t>合评价结论</w:t>
      </w:r>
    </w:p>
    <w:p w14:paraId="258CEC02">
      <w:pPr>
        <w:pageBreakBefore w:val="0"/>
        <w:widowControl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color w:val="FF0000"/>
          <w:sz w:val="32"/>
          <w:szCs w:val="32"/>
        </w:rPr>
      </w:pPr>
      <w:r>
        <w:rPr>
          <w:rFonts w:hint="default" w:ascii="Times New Roman" w:hAnsi="Times New Roman" w:eastAsia="仿宋_GB2312" w:cs="Times New Roman"/>
          <w:color w:val="auto"/>
          <w:sz w:val="32"/>
          <w:szCs w:val="32"/>
          <w:lang w:eastAsia="zh-CN"/>
        </w:rPr>
        <w:t>财工院2022年度</w:t>
      </w:r>
      <w:r>
        <w:rPr>
          <w:rFonts w:hint="default" w:ascii="Times New Roman" w:hAnsi="Times New Roman" w:eastAsia="仿宋_GB2312" w:cs="Times New Roman"/>
          <w:color w:val="auto"/>
          <w:sz w:val="32"/>
          <w:szCs w:val="32"/>
        </w:rPr>
        <w:t>在人员控制率、“三公经费”控制率、公用经费控制率</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信息公开性、招生数量完成率</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培养全日制学生数量完成率、毕业生去向落实率、省级及以上竞赛奖项数</w:t>
      </w:r>
      <w:r>
        <w:rPr>
          <w:rFonts w:hint="default" w:ascii="Times New Roman" w:hAnsi="Times New Roman" w:eastAsia="仿宋_GB2312" w:cs="Times New Roman"/>
          <w:color w:val="auto"/>
          <w:sz w:val="32"/>
          <w:szCs w:val="32"/>
          <w:lang w:eastAsia="zh-CN"/>
        </w:rPr>
        <w:t>、高层次人才引进与培养、学生毕业设计合格率、</w:t>
      </w:r>
      <w:r>
        <w:rPr>
          <w:rFonts w:hint="default" w:ascii="Times New Roman" w:hAnsi="Times New Roman" w:eastAsia="仿宋_GB2312" w:cs="Times New Roman"/>
          <w:color w:val="auto"/>
          <w:sz w:val="32"/>
          <w:szCs w:val="32"/>
          <w:lang w:val="en-US" w:eastAsia="zh-CN"/>
        </w:rPr>
        <w:t>科研立项和成果、社会服务创收利润、上缴非税收入</w:t>
      </w:r>
      <w:r>
        <w:rPr>
          <w:rFonts w:hint="default" w:ascii="Times New Roman" w:hAnsi="Times New Roman" w:eastAsia="仿宋_GB2312" w:cs="Times New Roman"/>
          <w:color w:val="auto"/>
          <w:sz w:val="32"/>
          <w:szCs w:val="32"/>
        </w:rPr>
        <w:t>等方面基本达到预定目标，但预算</w:t>
      </w:r>
      <w:r>
        <w:rPr>
          <w:rFonts w:hint="default" w:ascii="Times New Roman" w:hAnsi="Times New Roman" w:eastAsia="仿宋_GB2312" w:cs="Times New Roman"/>
          <w:color w:val="auto"/>
          <w:sz w:val="32"/>
          <w:szCs w:val="32"/>
          <w:lang w:val="en-US" w:eastAsia="zh-CN"/>
        </w:rPr>
        <w:t>管理</w:t>
      </w:r>
      <w:r>
        <w:rPr>
          <w:rFonts w:hint="default" w:ascii="Times New Roman" w:hAnsi="Times New Roman" w:eastAsia="仿宋_GB2312" w:cs="Times New Roman"/>
          <w:color w:val="auto"/>
          <w:sz w:val="32"/>
          <w:szCs w:val="32"/>
        </w:rPr>
        <w:t>、资产管理、双师素质教师占专任教师比</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重点工作办结率</w:t>
      </w:r>
      <w:r>
        <w:rPr>
          <w:rFonts w:hint="default" w:ascii="Times New Roman" w:hAnsi="Times New Roman" w:eastAsia="仿宋_GB2312" w:cs="Times New Roman"/>
          <w:color w:val="auto"/>
          <w:sz w:val="32"/>
          <w:szCs w:val="32"/>
        </w:rPr>
        <w:t>、学生及教职工满意度等方面还有待提高。</w:t>
      </w:r>
      <w:r>
        <w:rPr>
          <w:rFonts w:hint="default" w:ascii="Times New Roman" w:hAnsi="Times New Roman" w:eastAsia="仿宋_GB2312" w:cs="Times New Roman"/>
          <w:color w:val="auto"/>
          <w:sz w:val="32"/>
          <w:szCs w:val="32"/>
          <w:lang w:val="en-US" w:eastAsia="zh-CN"/>
        </w:rPr>
        <w:t>财工院</w:t>
      </w: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年度部门整体支出绩效评价综合评价得分为 8</w:t>
      </w:r>
      <w:r>
        <w:rPr>
          <w:rFonts w:hint="default"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rPr>
        <w:t>0分。其中投入</w:t>
      </w:r>
      <w:r>
        <w:rPr>
          <w:rFonts w:hint="default" w:ascii="Times New Roman" w:hAnsi="Times New Roman" w:eastAsia="仿宋_GB2312" w:cs="Times New Roman"/>
          <w:color w:val="auto"/>
          <w:sz w:val="32"/>
          <w:szCs w:val="32"/>
          <w:lang w:val="en-US" w:eastAsia="zh-CN"/>
        </w:rPr>
        <w:t>10.00</w:t>
      </w:r>
      <w:r>
        <w:rPr>
          <w:rFonts w:hint="default" w:ascii="Times New Roman" w:hAnsi="Times New Roman" w:eastAsia="仿宋_GB2312" w:cs="Times New Roman"/>
          <w:color w:val="auto"/>
          <w:sz w:val="32"/>
          <w:szCs w:val="32"/>
        </w:rPr>
        <w:t xml:space="preserve"> 分、过程 2</w:t>
      </w:r>
      <w:r>
        <w:rPr>
          <w:rFonts w:hint="default" w:ascii="Times New Roman" w:hAnsi="Times New Roman" w:eastAsia="仿宋_GB2312" w:cs="Times New Roman"/>
          <w:color w:val="auto"/>
          <w:sz w:val="32"/>
          <w:szCs w:val="32"/>
          <w:lang w:val="en-US" w:eastAsia="zh-CN"/>
        </w:rPr>
        <w:t>3.90</w:t>
      </w:r>
      <w:r>
        <w:rPr>
          <w:rFonts w:hint="default" w:ascii="Times New Roman" w:hAnsi="Times New Roman" w:eastAsia="仿宋_GB2312" w:cs="Times New Roman"/>
          <w:color w:val="auto"/>
          <w:sz w:val="32"/>
          <w:szCs w:val="32"/>
        </w:rPr>
        <w:t xml:space="preserve"> 分，产出</w:t>
      </w:r>
      <w:r>
        <w:rPr>
          <w:rFonts w:hint="default" w:ascii="Times New Roman" w:hAnsi="Times New Roman" w:eastAsia="仿宋_GB2312" w:cs="Times New Roman"/>
          <w:color w:val="auto"/>
          <w:sz w:val="32"/>
          <w:szCs w:val="32"/>
          <w:lang w:val="en-US" w:eastAsia="zh-CN"/>
        </w:rPr>
        <w:t>24.90</w:t>
      </w:r>
      <w:r>
        <w:rPr>
          <w:rFonts w:hint="default" w:ascii="Times New Roman" w:hAnsi="Times New Roman" w:eastAsia="仿宋_GB2312" w:cs="Times New Roman"/>
          <w:color w:val="auto"/>
          <w:sz w:val="32"/>
          <w:szCs w:val="32"/>
        </w:rPr>
        <w:t>分，效果</w:t>
      </w:r>
      <w:r>
        <w:rPr>
          <w:rFonts w:hint="default" w:ascii="Times New Roman" w:hAnsi="Times New Roman" w:eastAsia="仿宋_GB2312" w:cs="Times New Roman"/>
          <w:color w:val="auto"/>
          <w:sz w:val="32"/>
          <w:szCs w:val="32"/>
          <w:lang w:val="en-US" w:eastAsia="zh-CN"/>
        </w:rPr>
        <w:t>23.00</w:t>
      </w:r>
      <w:r>
        <w:rPr>
          <w:rFonts w:hint="default" w:ascii="Times New Roman" w:hAnsi="Times New Roman" w:eastAsia="仿宋_GB2312" w:cs="Times New Roman"/>
          <w:color w:val="auto"/>
          <w:sz w:val="32"/>
          <w:szCs w:val="32"/>
        </w:rPr>
        <w:t>分，综合绩效级别为“良”(绩效评分情况表详见附件</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 xml:space="preserve"> )。</w:t>
      </w:r>
    </w:p>
    <w:bookmarkEnd w:id="11"/>
    <w:p w14:paraId="43BDF8A7">
      <w:pPr>
        <w:pStyle w:val="4"/>
        <w:pageBreakBefore w:val="0"/>
        <w:widowControl w:val="0"/>
        <w:kinsoku/>
        <w:wordWrap/>
        <w:overflowPunct/>
        <w:topLinePunct w:val="0"/>
        <w:autoSpaceDE/>
        <w:autoSpaceDN/>
        <w:bidi w:val="0"/>
        <w:adjustRightInd/>
        <w:snapToGrid/>
        <w:spacing w:beforeAutospacing="0" w:afterAutospacing="0" w:line="580" w:lineRule="exact"/>
        <w:ind w:left="0" w:leftChars="0" w:firstLine="640"/>
        <w:jc w:val="both"/>
        <w:textAlignment w:val="auto"/>
        <w:rPr>
          <w:rFonts w:hint="default" w:ascii="Times New Roman" w:hAnsi="Times New Roman" w:cs="Times New Roman"/>
          <w:b w:val="0"/>
          <w:bCs/>
          <w:color w:val="auto"/>
          <w:sz w:val="32"/>
          <w:szCs w:val="32"/>
        </w:rPr>
      </w:pPr>
      <w:bookmarkStart w:id="12" w:name="_Toc79571982"/>
      <w:r>
        <w:rPr>
          <w:rFonts w:hint="default" w:ascii="Times New Roman" w:hAnsi="Times New Roman" w:cs="Times New Roman"/>
          <w:b w:val="0"/>
          <w:bCs/>
          <w:color w:val="auto"/>
          <w:sz w:val="32"/>
          <w:szCs w:val="32"/>
          <w:lang w:val="en-US" w:eastAsia="zh-CN"/>
        </w:rPr>
        <w:t>七</w:t>
      </w:r>
      <w:r>
        <w:rPr>
          <w:rFonts w:hint="default" w:ascii="Times New Roman" w:hAnsi="Times New Roman" w:cs="Times New Roman"/>
          <w:b w:val="0"/>
          <w:bCs/>
          <w:color w:val="auto"/>
          <w:sz w:val="32"/>
          <w:szCs w:val="32"/>
        </w:rPr>
        <w:t>、存在的主要问题</w:t>
      </w:r>
      <w:bookmarkEnd w:id="12"/>
    </w:p>
    <w:p w14:paraId="25AAB1BA">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bCs/>
          <w:color w:val="auto"/>
          <w:kern w:val="2"/>
          <w:sz w:val="32"/>
          <w:szCs w:val="32"/>
          <w:lang w:val="en-US" w:eastAsia="zh-CN" w:bidi="ar-SA"/>
        </w:rPr>
      </w:pPr>
      <w:bookmarkStart w:id="13" w:name="_Toc79571989"/>
      <w:r>
        <w:rPr>
          <w:rFonts w:hint="eastAsia" w:ascii="楷体_GB2312" w:hAnsi="楷体_GB2312" w:eastAsia="楷体_GB2312" w:cs="楷体_GB2312"/>
          <w:b/>
          <w:bCs/>
          <w:color w:val="auto"/>
          <w:kern w:val="2"/>
          <w:sz w:val="32"/>
          <w:szCs w:val="32"/>
          <w:lang w:val="en-US" w:eastAsia="zh-CN" w:bidi="ar-SA"/>
        </w:rPr>
        <w:t>（一）预算编制不够科学，债务资金执行率不高，项目推进缓慢。</w:t>
      </w:r>
    </w:p>
    <w:p w14:paraId="58A579E1">
      <w:pPr>
        <w:pageBreakBefore w:val="0"/>
        <w:widowControl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eastAsia="zh-CN"/>
        </w:rPr>
        <w:t>院内分解预算中使用债务资金安排的预算支出项目存在执行率低的情况，根据学院提供的</w:t>
      </w:r>
      <w:r>
        <w:rPr>
          <w:rFonts w:hint="default" w:ascii="Times New Roman" w:hAnsi="Times New Roman" w:eastAsia="仿宋_GB2312" w:cs="Times New Roman"/>
          <w:color w:val="auto"/>
          <w:sz w:val="32"/>
          <w:szCs w:val="32"/>
          <w:lang w:val="en-US" w:eastAsia="zh-CN"/>
        </w:rPr>
        <w:t>债务资金</w:t>
      </w:r>
      <w:r>
        <w:rPr>
          <w:rFonts w:hint="default" w:ascii="Times New Roman" w:hAnsi="Times New Roman" w:eastAsia="仿宋_GB2312" w:cs="Times New Roman"/>
          <w:color w:val="auto"/>
          <w:sz w:val="32"/>
          <w:szCs w:val="32"/>
          <w:lang w:eastAsia="zh-CN"/>
        </w:rPr>
        <w:t>指标执行情况表，年初预算中安排债务资金</w:t>
      </w:r>
      <w:r>
        <w:rPr>
          <w:rFonts w:hint="default" w:ascii="Times New Roman" w:hAnsi="Times New Roman" w:eastAsia="仿宋_GB2312" w:cs="Times New Roman"/>
          <w:color w:val="auto"/>
          <w:sz w:val="32"/>
          <w:szCs w:val="32"/>
          <w:lang w:val="en-US" w:eastAsia="zh-CN"/>
        </w:rPr>
        <w:t>5351.94</w:t>
      </w:r>
      <w:r>
        <w:rPr>
          <w:rFonts w:hint="default" w:ascii="Times New Roman" w:hAnsi="Times New Roman" w:eastAsia="仿宋_GB2312" w:cs="Times New Roman"/>
          <w:color w:val="auto"/>
          <w:sz w:val="32"/>
          <w:szCs w:val="32"/>
          <w:lang w:eastAsia="zh-CN"/>
        </w:rPr>
        <w:t>万元（</w:t>
      </w:r>
      <w:r>
        <w:rPr>
          <w:rFonts w:hint="default" w:ascii="Times New Roman" w:hAnsi="Times New Roman" w:eastAsia="仿宋_GB2312" w:cs="Times New Roman"/>
          <w:color w:val="auto"/>
          <w:sz w:val="32"/>
          <w:szCs w:val="32"/>
          <w:lang w:val="en-US" w:eastAsia="zh-CN"/>
        </w:rPr>
        <w:t>未含债务还本付息预算</w:t>
      </w:r>
      <w:r>
        <w:rPr>
          <w:rFonts w:hint="default" w:ascii="Times New Roman" w:hAnsi="Times New Roman" w:eastAsia="仿宋_GB2312" w:cs="Times New Roman"/>
          <w:color w:val="auto"/>
          <w:sz w:val="32"/>
          <w:szCs w:val="32"/>
          <w:lang w:eastAsia="zh-CN"/>
        </w:rPr>
        <w:t>），实际执行数</w:t>
      </w:r>
      <w:r>
        <w:rPr>
          <w:rFonts w:hint="default" w:ascii="Times New Roman" w:hAnsi="Times New Roman" w:eastAsia="仿宋_GB2312" w:cs="Times New Roman"/>
          <w:color w:val="auto"/>
          <w:sz w:val="32"/>
          <w:szCs w:val="32"/>
          <w:lang w:val="en-US" w:eastAsia="zh-CN"/>
        </w:rPr>
        <w:t>2952.64</w:t>
      </w:r>
      <w:r>
        <w:rPr>
          <w:rFonts w:hint="default" w:ascii="Times New Roman" w:hAnsi="Times New Roman" w:eastAsia="仿宋_GB2312" w:cs="Times New Roman"/>
          <w:color w:val="auto"/>
          <w:sz w:val="32"/>
          <w:szCs w:val="32"/>
          <w:lang w:eastAsia="zh-CN"/>
        </w:rPr>
        <w:t>万元，执行率只有5</w:t>
      </w:r>
      <w:r>
        <w:rPr>
          <w:rFonts w:hint="default" w:ascii="Times New Roman" w:hAnsi="Times New Roman" w:eastAsia="仿宋_GB2312" w:cs="Times New Roman"/>
          <w:color w:val="auto"/>
          <w:sz w:val="32"/>
          <w:szCs w:val="32"/>
          <w:lang w:val="en-US" w:eastAsia="zh-CN"/>
        </w:rPr>
        <w:t>5.17%。</w:t>
      </w:r>
      <w:r>
        <w:rPr>
          <w:rFonts w:hint="default" w:ascii="Times New Roman" w:hAnsi="Times New Roman" w:eastAsia="仿宋_GB2312" w:cs="Times New Roman"/>
          <w:color w:val="auto"/>
          <w:sz w:val="32"/>
          <w:szCs w:val="32"/>
          <w:lang w:eastAsia="zh-CN"/>
        </w:rPr>
        <w:t>造成预算执行率不高的原因主要是部分项目工作进度推进较慢，如学院计划利用3000万元的贷款资金对全院教学实训设备设施进行更新改造，但</w:t>
      </w:r>
      <w:r>
        <w:rPr>
          <w:rFonts w:hint="eastAsia" w:ascii="Times New Roman" w:hAnsi="Times New Roman" w:eastAsia="仿宋_GB2312" w:cs="Times New Roman"/>
          <w:color w:val="auto"/>
          <w:sz w:val="32"/>
          <w:szCs w:val="32"/>
          <w:lang w:eastAsia="zh-CN"/>
        </w:rPr>
        <w:t>截至2022年</w:t>
      </w:r>
      <w:r>
        <w:rPr>
          <w:rFonts w:hint="default" w:ascii="Times New Roman" w:hAnsi="Times New Roman" w:eastAsia="仿宋_GB2312" w:cs="Times New Roman"/>
          <w:color w:val="auto"/>
          <w:sz w:val="32"/>
          <w:szCs w:val="32"/>
          <w:lang w:eastAsia="zh-CN"/>
        </w:rPr>
        <w:t>末，该项工作大部分未开展，部分建设项目预算执行率为0。</w:t>
      </w:r>
      <w:r>
        <w:rPr>
          <w:rFonts w:hint="eastAsia" w:ascii="Times New Roman" w:hAnsi="Times New Roman" w:eastAsia="仿宋_GB2312" w:cs="Times New Roman"/>
          <w:color w:val="auto"/>
          <w:sz w:val="32"/>
          <w:szCs w:val="32"/>
          <w:lang w:val="en-US" w:eastAsia="zh-CN"/>
        </w:rPr>
        <w:t>截至2022年</w:t>
      </w:r>
      <w:r>
        <w:rPr>
          <w:rFonts w:hint="default" w:ascii="Times New Roman" w:hAnsi="Times New Roman" w:eastAsia="仿宋_GB2312" w:cs="Times New Roman"/>
          <w:color w:val="auto"/>
          <w:sz w:val="32"/>
          <w:szCs w:val="32"/>
          <w:lang w:val="en-US" w:eastAsia="zh-CN"/>
        </w:rPr>
        <w:t>12月31日，债务资金执行率为0的项目31项，资金余额1186.52万元，执行率大于0小于50%的项目4项，资金余额920.63万元。</w:t>
      </w:r>
    </w:p>
    <w:p w14:paraId="1C444479">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（二）资产管理工作还有待进一步完善</w:t>
      </w:r>
    </w:p>
    <w:p w14:paraId="7F3379AB">
      <w:pPr>
        <w:pageBreakBefore w:val="0"/>
        <w:widowControl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1.固定资产账实存在差异。</w:t>
      </w:r>
      <w:r>
        <w:rPr>
          <w:rFonts w:hint="default" w:ascii="Times New Roman" w:hAnsi="Times New Roman" w:eastAsia="仿宋_GB2312" w:cs="Times New Roman"/>
          <w:color w:val="auto"/>
          <w:sz w:val="32"/>
          <w:szCs w:val="32"/>
          <w:lang w:val="en-US" w:eastAsia="zh-CN"/>
        </w:rPr>
        <w:t>绩效评价小组对房屋建筑物进行了核查，涉及账面价值共24,386.41万元。现场核实发现，学院西区第一、二、三、九、十四、十五栋家属楼，常胜路家属楼，东区ABC栋家属楼、学院罗金桥校区第四、第五栋部分家属楼，账面价值为2,797.91万元，据后勤部门反映基本已按房改房出售给职工，但账面价值未调减；账面记录学院驾校办公用房，账面价值为75.16万元，但据后勤部门反映为租户驾校自建，非学院资产；学院创业园楼上的致诚1号宿舍，十五栋家属楼西侧的致诚2号宿舍，西区致善1号和3号宿舍中间的医院和超市，东区致美宿舍及食堂东侧的平房2处，学院致和片区的二层综合楼、公共厕所、致和1号宿舍、致和2号宿舍、致和3号宿舍、二层仓库、值班室，原机械技工学校的学生执勤室、后门门卫室，共14处房屋及学院西区崇德楼前篮球场，东区汽车实训车间西侧和南侧篮球场，东区狮山公园内水塔，共4处附属设施有实物未入账。</w:t>
      </w:r>
    </w:p>
    <w:p w14:paraId="6789C6FE">
      <w:pPr>
        <w:pageBreakBefore w:val="0"/>
        <w:widowControl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2.房屋登记面积不准确。</w:t>
      </w:r>
      <w:r>
        <w:rPr>
          <w:rFonts w:hint="default" w:ascii="Times New Roman" w:hAnsi="Times New Roman" w:eastAsia="仿宋_GB2312" w:cs="Times New Roman"/>
          <w:color w:val="auto"/>
          <w:sz w:val="32"/>
          <w:szCs w:val="32"/>
          <w:lang w:val="en-US" w:eastAsia="zh-CN"/>
        </w:rPr>
        <w:t>如：致美2号、致美3号公寓面积分别为6715.25㎡、6735.25㎡，均为2栋楼组成，而致美1号公寓长高与2号、3号公寓相近，但只有1栋楼，面积却达到了6770.38㎡；第三食堂（致美）规模比第一食堂（致善）要大，但第三食堂的面积（1546㎡）却比第一食堂的面积（3300㎡）小的多；原机械技工学校综合楼（现一楼作宿舍，二楼为致信食堂）为二层楼，目测面积远大于登记面积198.99㎡，原机械技工学校模钳车间（现为教师宿舍）也为二层楼，目测面积远大于登记面积200㎡。</w:t>
      </w:r>
    </w:p>
    <w:p w14:paraId="375CEB57">
      <w:pPr>
        <w:pageBreakBefore w:val="0"/>
        <w:widowControl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i w:val="0"/>
          <w:iCs w:val="0"/>
          <w:color w:val="auto"/>
          <w:sz w:val="32"/>
          <w:szCs w:val="32"/>
          <w:lang w:val="en-US" w:eastAsia="zh-CN"/>
        </w:rPr>
        <w:t>3.土地使用权账实不符。</w:t>
      </w:r>
      <w:r>
        <w:rPr>
          <w:rFonts w:hint="default" w:ascii="Times New Roman" w:hAnsi="Times New Roman" w:eastAsia="仿宋_GB2312" w:cs="Times New Roman"/>
          <w:color w:val="auto"/>
          <w:sz w:val="32"/>
          <w:szCs w:val="32"/>
          <w:lang w:val="en-US" w:eastAsia="zh-CN"/>
        </w:rPr>
        <w:t>学院账面共有7宗土地，总面积295,343.05㎡，根据基建处提供的“高等教育学校校园占地情况统计调查表（台账）”，共有12宗土地，总面积482,254.99㎡（其中一宗账面已登记的土地面积在该表填列错误，该表多计470.7平方米，调整后应为481,784.29㎡），均有土地权证号，但有5宗土地未见账面记录，且无法提供该5宗未入账的土地使用权证实物。经查财务账，在建工程挂账土地征用及迁移补偿费3,892.47万元，上述金额近3年都没有变动，可能存在办证后未转无形资产的情况。</w:t>
      </w:r>
    </w:p>
    <w:p w14:paraId="5681A82D">
      <w:pPr>
        <w:pageBreakBefore w:val="0"/>
        <w:widowControl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4.部分资产闲置。</w:t>
      </w:r>
      <w:r>
        <w:rPr>
          <w:rFonts w:hint="default" w:ascii="Times New Roman" w:hAnsi="Times New Roman" w:eastAsia="仿宋_GB2312" w:cs="Times New Roman"/>
          <w:color w:val="auto"/>
          <w:sz w:val="32"/>
          <w:szCs w:val="32"/>
          <w:lang w:val="en-US" w:eastAsia="zh-CN"/>
        </w:rPr>
        <w:t>如：位于学院东区致美宿舍及食堂东侧的平房2处，未对外租赁，但可见有他人在使用；学院有车辆4辆，其中2009年购置的轿车和大客车已闲置，处于待报废状态。</w:t>
      </w:r>
    </w:p>
    <w:p w14:paraId="1BFC176D">
      <w:pPr>
        <w:pageBreakBefore w:val="0"/>
        <w:widowControl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5.</w:t>
      </w: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在建工程未及时结转固定资产。</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如：航空专业实训车间706,846.00元、未确定项目事项32,741.89元、实训基地244,652.20元、航空专业实训车间改造354,571.23元，账面显示为在建工程，但据了解以上项目均已完工结算，相关资料却未送财</w:t>
      </w:r>
      <w:r>
        <w:rPr>
          <w:rFonts w:hint="default" w:ascii="Times New Roman" w:hAnsi="Times New Roman" w:eastAsia="仿宋_GB2312" w:cs="Times New Roman"/>
          <w:color w:val="auto"/>
          <w:sz w:val="32"/>
          <w:szCs w:val="32"/>
          <w:lang w:val="en-US" w:eastAsia="zh-CN"/>
        </w:rPr>
        <w:t>务进行账务处理。</w:t>
      </w:r>
    </w:p>
    <w:p w14:paraId="3AE0586F">
      <w:pPr>
        <w:pageBreakBefore w:val="0"/>
        <w:widowControl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6.租金收缴不够及时。</w:t>
      </w:r>
      <w:r>
        <w:rPr>
          <w:rFonts w:hint="default" w:ascii="Times New Roman" w:hAnsi="Times New Roman" w:eastAsia="仿宋_GB2312" w:cs="Times New Roman"/>
          <w:color w:val="auto"/>
          <w:sz w:val="32"/>
          <w:szCs w:val="32"/>
          <w:lang w:val="en-US" w:eastAsia="zh-CN"/>
        </w:rPr>
        <w:t>一是上年度审计报告指出的衡阳铁运输职业学校70万元、衡阳市农村信用社1.5万元还未见收回。二是原诚信超市、益禾堂奶茶店租赁已到期退出，但租金17.37万元、5.54万元未收回，另两租户还各有1年的卡机维护费600元应收未收回。三是未严格按合同条款执行，如与租户衡阳市财院汽车驾驶员培训学校签订合同时约定由租户捐赠总价值不少于5万元的教学设备或5万元给相关教学系部用于专业建设，在2022年5月1日前一次性办理完结，实际于2023年才办理完结。</w:t>
      </w:r>
    </w:p>
    <w:p w14:paraId="510416E7">
      <w:pPr>
        <w:pageBreakBefore w:val="0"/>
        <w:widowControl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7.水电管理水平还有待进一步提高。</w:t>
      </w:r>
      <w:r>
        <w:rPr>
          <w:rFonts w:hint="default" w:ascii="Times New Roman" w:hAnsi="Times New Roman" w:eastAsia="仿宋_GB2312" w:cs="Times New Roman"/>
          <w:color w:val="auto"/>
          <w:sz w:val="32"/>
          <w:szCs w:val="32"/>
          <w:lang w:val="en-US" w:eastAsia="zh-CN"/>
        </w:rPr>
        <w:t>一是未按制度要求建立相应的水电管理台账和定期抄表。二是水电管理部门抄表数据未及时传递给财务部门进行收费。三是老商户退租时未抄表结算应收水电费，导致水电费错误归属到新商户。四是对个别外来用户供水供电，但没有装表抄数。五是学生和教师用水均未装表计量和收费，极易造成用水浪费。六是水电费催收工作职责不明，学院基建处负责抄表，学院财务处负责收费，但对未交费的商户，两部门未沟通采取有效措施进行催收。</w:t>
      </w:r>
    </w:p>
    <w:p w14:paraId="093EDEF0">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（三）未充分发挥债务资金的使用效益，专项债闲置金额较大</w:t>
      </w:r>
    </w:p>
    <w:p w14:paraId="27AFC557">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default" w:ascii="Times New Roman" w:hAnsi="Times New Roman" w:eastAsia="仿宋_GB2312" w:cs="Times New Roman"/>
          <w:bCs w:val="0"/>
          <w:color w:val="auto"/>
          <w:kern w:val="2"/>
          <w:sz w:val="32"/>
          <w:szCs w:val="32"/>
          <w:lang w:val="en-US" w:eastAsia="zh-CN" w:bidi="ar-SA"/>
        </w:rPr>
      </w:pPr>
      <w:r>
        <w:rPr>
          <w:rFonts w:hint="default" w:ascii="Times New Roman" w:hAnsi="Times New Roman" w:eastAsia="仿宋_GB2312" w:cs="Times New Roman"/>
          <w:bCs w:val="0"/>
          <w:color w:val="auto"/>
          <w:kern w:val="2"/>
          <w:sz w:val="32"/>
          <w:szCs w:val="32"/>
          <w:lang w:val="en-US" w:eastAsia="zh-CN" w:bidi="ar-SA"/>
        </w:rPr>
        <w:t>2022年末学院债务资金结余16,189.33万元。</w:t>
      </w:r>
      <w:r>
        <w:rPr>
          <w:rFonts w:hint="default" w:ascii="Times New Roman" w:hAnsi="Times New Roman" w:eastAsia="仿宋_GB2312" w:cs="Times New Roman"/>
          <w:bCs w:val="0"/>
          <w:color w:val="auto"/>
          <w:sz w:val="32"/>
          <w:szCs w:val="32"/>
          <w:lang w:val="en-US" w:eastAsia="zh-CN"/>
        </w:rPr>
        <w:t>其中银行贷款账户因2023年1月5日贷款资金到期，需提前预备还款本金，造成年末结余3060.68万元，</w:t>
      </w:r>
      <w:r>
        <w:rPr>
          <w:rFonts w:hint="default" w:ascii="Times New Roman" w:hAnsi="Times New Roman" w:eastAsia="仿宋_GB2312" w:cs="Times New Roman"/>
          <w:bCs w:val="0"/>
          <w:color w:val="auto"/>
          <w:kern w:val="2"/>
          <w:sz w:val="32"/>
          <w:szCs w:val="32"/>
          <w:lang w:val="en-US" w:eastAsia="zh-CN" w:bidi="ar-SA"/>
        </w:rPr>
        <w:t>政府专项债券资金结余13,128.65万元。专项债资金闲置金额较大，支付了闲置贷款的利息，却未取得效益。</w:t>
      </w:r>
    </w:p>
    <w:p w14:paraId="0F09F585">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（四）各部门、人员间的协同机制还需进一步完善</w:t>
      </w:r>
    </w:p>
    <w:p w14:paraId="2333226F">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default" w:ascii="Times New Roman" w:hAnsi="Times New Roman" w:eastAsia="仿宋_GB2312" w:cs="Times New Roman"/>
          <w:bCs w:val="0"/>
          <w:color w:val="auto"/>
          <w:kern w:val="2"/>
          <w:sz w:val="32"/>
          <w:szCs w:val="32"/>
          <w:lang w:val="en-US" w:eastAsia="zh-CN" w:bidi="ar-SA"/>
        </w:rPr>
      </w:pPr>
      <w:r>
        <w:rPr>
          <w:rFonts w:hint="default" w:ascii="Times New Roman" w:hAnsi="Times New Roman" w:eastAsia="仿宋_GB2312" w:cs="Times New Roman"/>
          <w:bCs w:val="0"/>
          <w:color w:val="auto"/>
          <w:kern w:val="2"/>
          <w:sz w:val="32"/>
          <w:szCs w:val="32"/>
          <w:lang w:val="en-US" w:eastAsia="zh-CN" w:bidi="ar-SA"/>
        </w:rPr>
        <w:t>学院协同机制不够健全，部门之间、部门内部各成员协同意识不强，缺乏良性的沟通平台，这就导致信息传递不畅或中断。例如：管理资产业务人员取得相关资产权属资料后未将资料传送到资产登记人员处登记，导致相关资产未入账；管理水电业务人员将应收水电提交财务部门后未与财务部门保持沟通对接，从而导致应收水电款项长期未进行追缴；因牵涉多部门、人员，相关部门、人员间又沟通不畅，导致学院一直没有累计的应收、已收、欠收水电台账和租金台账。</w:t>
      </w:r>
    </w:p>
    <w:p w14:paraId="04C90F54">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color w:val="auto"/>
          <w:sz w:val="32"/>
          <w:szCs w:val="32"/>
          <w:lang w:eastAsia="zh-CN"/>
        </w:rPr>
        <w:t>（</w:t>
      </w:r>
      <w:r>
        <w:rPr>
          <w:rFonts w:hint="eastAsia" w:ascii="楷体_GB2312" w:hAnsi="楷体_GB2312" w:eastAsia="楷体_GB2312" w:cs="楷体_GB2312"/>
          <w:b/>
          <w:bCs/>
          <w:color w:val="auto"/>
          <w:kern w:val="2"/>
          <w:sz w:val="32"/>
          <w:szCs w:val="32"/>
          <w:lang w:val="en-US" w:eastAsia="zh-CN" w:bidi="ar-SA"/>
        </w:rPr>
        <w:t>五）资金使用审批不够规范</w:t>
      </w:r>
    </w:p>
    <w:p w14:paraId="3D4628DC">
      <w:pPr>
        <w:pageBreakBefore w:val="0"/>
        <w:numPr>
          <w:ilvl w:val="-1"/>
          <w:numId w:val="0"/>
        </w:numPr>
        <w:kinsoku/>
        <w:wordWrap/>
        <w:overflowPunct/>
        <w:topLinePunct w:val="0"/>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bCs w:val="0"/>
          <w:color w:val="auto"/>
          <w:kern w:val="2"/>
          <w:sz w:val="32"/>
          <w:szCs w:val="32"/>
          <w:lang w:val="en-US" w:eastAsia="zh-CN" w:bidi="ar-SA"/>
        </w:rPr>
      </w:pPr>
      <w:r>
        <w:rPr>
          <w:rFonts w:hint="default" w:ascii="Times New Roman" w:hAnsi="Times New Roman" w:eastAsia="仿宋_GB2312" w:cs="Times New Roman"/>
          <w:color w:val="auto"/>
          <w:sz w:val="32"/>
          <w:szCs w:val="32"/>
          <w:lang w:val="en-US" w:eastAsia="zh-CN"/>
        </w:rPr>
        <w:t>1.预算调整未履行相关手续。如</w:t>
      </w:r>
      <w:r>
        <w:rPr>
          <w:rFonts w:hint="default" w:ascii="Times New Roman" w:hAnsi="Times New Roman" w:eastAsia="仿宋_GB2312" w:cs="Times New Roman"/>
          <w:bCs w:val="0"/>
          <w:color w:val="auto"/>
          <w:kern w:val="2"/>
          <w:sz w:val="32"/>
          <w:szCs w:val="32"/>
          <w:lang w:val="en-US" w:eastAsia="zh-CN" w:bidi="ar-SA"/>
        </w:rPr>
        <w:t>2022年12月59号凭证，付招生就业处印制2022届毕业生“就业服务月”活动手册费用14,000.00元，存在以下问题：一是所附的合同为2020年11月签订，</w:t>
      </w:r>
      <w:r>
        <w:rPr>
          <w:rFonts w:hint="eastAsia" w:ascii="Times New Roman" w:hAnsi="Times New Roman" w:eastAsia="仿宋_GB2312" w:cs="Times New Roman"/>
          <w:bCs w:val="0"/>
          <w:color w:val="auto"/>
          <w:kern w:val="2"/>
          <w:sz w:val="32"/>
          <w:szCs w:val="32"/>
          <w:lang w:val="en-US" w:eastAsia="zh-CN" w:bidi="ar-SA"/>
        </w:rPr>
        <w:t>截至2022年</w:t>
      </w:r>
      <w:r>
        <w:rPr>
          <w:rFonts w:hint="default" w:ascii="Times New Roman" w:hAnsi="Times New Roman" w:eastAsia="仿宋_GB2312" w:cs="Times New Roman"/>
          <w:bCs w:val="0"/>
          <w:color w:val="auto"/>
          <w:kern w:val="2"/>
          <w:sz w:val="32"/>
          <w:szCs w:val="32"/>
          <w:lang w:val="en-US" w:eastAsia="zh-CN" w:bidi="ar-SA"/>
        </w:rPr>
        <w:t>10月31日到期的合同，未附续签的新合同；二是印刷手册5000份，预算为10000元，单价2元/册，经过谈判为2.8元/册，共14000元，谈判结果超预算，经了解系采购数量及类型发生变更，但预算调整手续未办理；三是无验收程序。</w:t>
      </w:r>
    </w:p>
    <w:p w14:paraId="6DC131F9">
      <w:pPr>
        <w:pageBreakBefore w:val="0"/>
        <w:widowControl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_GB2312" w:cs="Times New Roman"/>
          <w:bCs w:val="0"/>
          <w:color w:val="auto"/>
          <w:kern w:val="2"/>
          <w:sz w:val="32"/>
          <w:szCs w:val="32"/>
          <w:lang w:val="en-US" w:eastAsia="zh-CN" w:bidi="ar-SA"/>
        </w:rPr>
      </w:pPr>
      <w:r>
        <w:rPr>
          <w:rFonts w:hint="default" w:ascii="Times New Roman" w:hAnsi="Times New Roman" w:eastAsia="仿宋_GB2312" w:cs="Times New Roman"/>
          <w:bCs w:val="0"/>
          <w:color w:val="auto"/>
          <w:kern w:val="2"/>
          <w:sz w:val="32"/>
          <w:szCs w:val="32"/>
          <w:lang w:val="en-US" w:eastAsia="zh-CN" w:bidi="ar-SA"/>
        </w:rPr>
        <w:t>2.票据报销把关不严。一是个别工作餐未附就餐人员名单，如2022年3月17号凭证，付2021年12月图文信息中心、宿管员值班餐费、2022年6月197号凭证，付团委组织第十八届校园文化艺术节开幕式晚会工作餐等。二是差旅费存在事前事后不一致的情况，如2022年10月94号凭证，付机电工程系廖洪富到成都参加“互联网+”省级现场赛评委团差旅费3,120.50元，无主管院领导签字审批，且出差审批单外出时间与实际出差时间不相符。三是个别耗材购置无销货清单，如2022年12月247号凭证，其中95,646.00元的实训耗材未附销货清单。四是未严格执行审批流程，如2022年6月210号凭证，付经贸系开展衡南县视频直播大赛购买办公用品等2,378.76元，应报未报主管院领导审批。</w:t>
      </w:r>
    </w:p>
    <w:p w14:paraId="1F60CC96">
      <w:pPr>
        <w:pageBreakBefore w:val="0"/>
        <w:widowControl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（六）账务处理的精细化程度还有待提升</w:t>
      </w:r>
    </w:p>
    <w:p w14:paraId="1806CBE9">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bCs/>
          <w:color w:val="auto"/>
          <w:kern w:val="2"/>
          <w:sz w:val="32"/>
          <w:szCs w:val="32"/>
          <w:lang w:val="en-US" w:eastAsia="zh-CN" w:bidi="ar-SA"/>
        </w:rPr>
        <w:t>1.学费收入核算不及时。</w:t>
      </w:r>
      <w:r>
        <w:rPr>
          <w:rFonts w:hint="default" w:ascii="Times New Roman" w:hAnsi="Times New Roman" w:eastAsia="仿宋_GB2312" w:cs="Times New Roman"/>
          <w:b w:val="0"/>
          <w:bCs w:val="0"/>
          <w:color w:val="auto"/>
          <w:kern w:val="2"/>
          <w:sz w:val="32"/>
          <w:szCs w:val="32"/>
          <w:lang w:val="en-US" w:eastAsia="zh-CN" w:bidi="ar-SA"/>
        </w:rPr>
        <w:t>学校非税银行账户收入的资金一年才记账一次，未按月记账。</w:t>
      </w:r>
    </w:p>
    <w:p w14:paraId="7A8E86FA">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bCs/>
          <w:color w:val="auto"/>
          <w:kern w:val="2"/>
          <w:sz w:val="32"/>
          <w:szCs w:val="32"/>
          <w:lang w:val="en-US" w:eastAsia="zh-CN" w:bidi="ar-SA"/>
        </w:rPr>
        <w:t>2.经济科目核算不准确。</w:t>
      </w:r>
      <w:r>
        <w:rPr>
          <w:rFonts w:hint="default" w:ascii="Times New Roman" w:hAnsi="Times New Roman" w:eastAsia="仿宋_GB2312" w:cs="Times New Roman"/>
          <w:b w:val="0"/>
          <w:bCs w:val="0"/>
          <w:color w:val="auto"/>
          <w:kern w:val="2"/>
          <w:sz w:val="32"/>
          <w:szCs w:val="32"/>
          <w:lang w:val="en-US" w:eastAsia="zh-CN" w:bidi="ar-SA"/>
        </w:rPr>
        <w:t>例如：2022年5月282号凭证，收1-4月致善食堂水电费46,386.40元，2022年10月200号凭证,收致善食堂8-9月水电费24,541.40元，两笔凭证共冲销电费70,927.80元，而其中9,576.00元为水费，经济科目应冲销水费。</w:t>
      </w:r>
    </w:p>
    <w:bookmarkEnd w:id="13"/>
    <w:p w14:paraId="51FE1355">
      <w:pPr>
        <w:pStyle w:val="4"/>
        <w:pageBreakBefore w:val="0"/>
        <w:widowControl w:val="0"/>
        <w:kinsoku/>
        <w:wordWrap/>
        <w:overflowPunct/>
        <w:topLinePunct w:val="0"/>
        <w:autoSpaceDE/>
        <w:autoSpaceDN/>
        <w:bidi w:val="0"/>
        <w:adjustRightInd/>
        <w:snapToGrid/>
        <w:spacing w:beforeAutospacing="0" w:afterAutospacing="0" w:line="580" w:lineRule="exact"/>
        <w:ind w:left="0" w:leftChars="0" w:firstLine="640"/>
        <w:jc w:val="both"/>
        <w:textAlignment w:val="auto"/>
        <w:rPr>
          <w:rFonts w:hint="default" w:ascii="Times New Roman" w:hAnsi="Times New Roman" w:cs="Times New Roman"/>
          <w:b w:val="0"/>
          <w:bCs/>
          <w:color w:val="auto"/>
          <w:sz w:val="32"/>
          <w:szCs w:val="32"/>
        </w:rPr>
      </w:pPr>
      <w:bookmarkStart w:id="14" w:name="_Toc79571990"/>
      <w:r>
        <w:rPr>
          <w:rFonts w:hint="default" w:ascii="Times New Roman" w:hAnsi="Times New Roman" w:cs="Times New Roman"/>
          <w:b w:val="0"/>
          <w:bCs/>
          <w:color w:val="auto"/>
          <w:sz w:val="32"/>
          <w:szCs w:val="32"/>
          <w:lang w:val="en-US" w:eastAsia="zh-CN"/>
        </w:rPr>
        <w:t>八</w:t>
      </w:r>
      <w:r>
        <w:rPr>
          <w:rFonts w:hint="default" w:ascii="Times New Roman" w:hAnsi="Times New Roman" w:cs="Times New Roman"/>
          <w:b w:val="0"/>
          <w:bCs/>
          <w:color w:val="auto"/>
          <w:sz w:val="32"/>
          <w:szCs w:val="32"/>
        </w:rPr>
        <w:t>、相关建议</w:t>
      </w:r>
      <w:bookmarkEnd w:id="14"/>
    </w:p>
    <w:p w14:paraId="54B0B9EB">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（一）强化预算编制，提升预算绩效管理水平</w:t>
      </w:r>
    </w:p>
    <w:p w14:paraId="21422691">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default" w:ascii="Times New Roman" w:hAnsi="Times New Roman" w:eastAsia="仿宋_GB2312" w:cs="Times New Roman"/>
          <w:bCs w:val="0"/>
          <w:color w:val="auto"/>
          <w:kern w:val="2"/>
          <w:sz w:val="32"/>
          <w:szCs w:val="32"/>
          <w:lang w:val="en-US" w:eastAsia="zh-CN" w:bidi="ar-SA"/>
        </w:rPr>
      </w:pPr>
      <w:r>
        <w:rPr>
          <w:rFonts w:hint="default" w:ascii="Times New Roman" w:hAnsi="Times New Roman" w:eastAsia="仿宋_GB2312" w:cs="Times New Roman"/>
          <w:bCs w:val="0"/>
          <w:color w:val="auto"/>
          <w:kern w:val="2"/>
          <w:sz w:val="32"/>
          <w:szCs w:val="32"/>
          <w:lang w:val="en-US" w:eastAsia="zh-CN" w:bidi="ar-SA"/>
        </w:rPr>
        <w:t>建议学院根据年度工作计划，科学合理编部门预算，合理保障资金需要，严格执行；强化预算绩效意识，绩效目标编制需量化细化，确保绩效目标完整反映部门整体支出情况，与年度预算资金相匹配，切实提升项目管理水平，提高资金使用效率；加强宣传培训，提升绩效意识，强化资金管理部门和使用部门的责任，提高参与度，促使单位绩效管理工作高效运行，实现预算绩效管理与预算管理的“一体化”目标。</w:t>
      </w:r>
    </w:p>
    <w:p w14:paraId="2D4805DD">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（二）加强资产管理，提高资产配置效益</w:t>
      </w:r>
    </w:p>
    <w:p w14:paraId="441B34A9">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default" w:ascii="Times New Roman" w:hAnsi="Times New Roman" w:eastAsia="仿宋_GB2312" w:cs="Times New Roman"/>
          <w:bCs w:val="0"/>
          <w:color w:val="auto"/>
          <w:kern w:val="2"/>
          <w:sz w:val="32"/>
          <w:szCs w:val="32"/>
          <w:lang w:val="en-US" w:eastAsia="zh-CN" w:bidi="ar-SA"/>
        </w:rPr>
      </w:pPr>
      <w:r>
        <w:rPr>
          <w:rFonts w:hint="default" w:ascii="Times New Roman" w:hAnsi="Times New Roman" w:eastAsia="仿宋_GB2312" w:cs="Times New Roman"/>
          <w:bCs w:val="0"/>
          <w:color w:val="auto"/>
          <w:kern w:val="2"/>
          <w:sz w:val="32"/>
          <w:szCs w:val="32"/>
          <w:lang w:val="en-US" w:eastAsia="zh-CN" w:bidi="ar-SA"/>
        </w:rPr>
        <w:t>建议学院提高对资产管理的重视程度，进一步完善资产管理制度，落实资产清查工作，摸清家底。做好资产日常管理工作，使得固定资产的潜能得到充分有效使用和发挥，定期对固定资产进行全面清查盘点，保证账、卡、物相符，对盘盈、盘亏的资产，要查明原因，分清责任，及时处理。</w:t>
      </w:r>
    </w:p>
    <w:p w14:paraId="058F2242">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 xml:space="preserve">（三）强化债务管理，提高资金使用效率 </w:t>
      </w:r>
    </w:p>
    <w:p w14:paraId="106FD325">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default" w:ascii="Times New Roman" w:hAnsi="Times New Roman" w:eastAsia="仿宋_GB2312" w:cs="Times New Roman"/>
          <w:bCs w:val="0"/>
          <w:color w:val="auto"/>
          <w:kern w:val="2"/>
          <w:sz w:val="32"/>
          <w:szCs w:val="32"/>
          <w:lang w:val="en-US" w:eastAsia="zh-CN" w:bidi="ar-SA"/>
        </w:rPr>
      </w:pPr>
      <w:r>
        <w:rPr>
          <w:rFonts w:hint="default" w:ascii="Times New Roman" w:hAnsi="Times New Roman" w:eastAsia="仿宋_GB2312" w:cs="Times New Roman"/>
          <w:bCs w:val="0"/>
          <w:color w:val="auto"/>
          <w:kern w:val="2"/>
          <w:sz w:val="32"/>
          <w:szCs w:val="32"/>
          <w:lang w:val="en-US" w:eastAsia="zh-CN" w:bidi="ar-SA"/>
        </w:rPr>
        <w:t>建议学院建立科学的债务管理制度和债务绩效考核指标，根据学院项目资金需求，设定债务资金的使用期限、用途、金额等详细规定，同时安排专人对债务资金的使用情况进行监测和绩效考核，从而规范债务资金的使用和管理，提供债务资金的使用效益，压减年末结余债务资金规模。</w:t>
      </w:r>
    </w:p>
    <w:p w14:paraId="377A5E67">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（四）建立部门间沟通平台，完善租金、水电管理制度</w:t>
      </w:r>
    </w:p>
    <w:p w14:paraId="127C3B9E">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default" w:ascii="Times New Roman" w:hAnsi="Times New Roman" w:eastAsia="仿宋_GB2312" w:cs="Times New Roman"/>
          <w:bCs w:val="0"/>
          <w:color w:val="auto"/>
          <w:kern w:val="2"/>
          <w:sz w:val="32"/>
          <w:szCs w:val="32"/>
          <w:lang w:val="en-US" w:eastAsia="zh-CN" w:bidi="ar-SA"/>
        </w:rPr>
      </w:pPr>
      <w:r>
        <w:rPr>
          <w:rFonts w:hint="default" w:ascii="Times New Roman" w:hAnsi="Times New Roman" w:eastAsia="仿宋_GB2312" w:cs="Times New Roman"/>
          <w:bCs w:val="0"/>
          <w:color w:val="auto"/>
          <w:kern w:val="2"/>
          <w:sz w:val="32"/>
          <w:szCs w:val="32"/>
          <w:lang w:val="en-US" w:eastAsia="zh-CN" w:bidi="ar-SA"/>
        </w:rPr>
        <w:t>建议学院完善租金、水电管理制度，建立部门间沟通平台，加强部门间的沟通，提高管理人员对自身工作的认识和责任感，激发管理人员的管理积极性，从而及时地进行租金、水电收缴，同时加强监督管理，确保收益及时足额收回，防止资产流失。</w:t>
      </w:r>
    </w:p>
    <w:p w14:paraId="40A5EAF9">
      <w:pPr>
        <w:pStyle w:val="5"/>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rPr>
          <w:rFonts w:hint="eastAsia" w:ascii="楷体_GB2312" w:hAnsi="楷体_GB2312" w:eastAsia="楷体_GB2312" w:cs="楷体_GB2312"/>
          <w:b/>
          <w:bCs/>
          <w:color w:val="auto"/>
          <w:kern w:val="2"/>
          <w:sz w:val="32"/>
          <w:szCs w:val="32"/>
          <w:u w:val="none"/>
          <w:lang w:val="en-US" w:eastAsia="zh-CN" w:bidi="ar-SA"/>
        </w:rPr>
      </w:pPr>
      <w:r>
        <w:rPr>
          <w:rFonts w:hint="eastAsia" w:ascii="楷体_GB2312" w:hAnsi="楷体_GB2312" w:eastAsia="楷体_GB2312" w:cs="楷体_GB2312"/>
          <w:b/>
          <w:bCs/>
          <w:color w:val="auto"/>
          <w:kern w:val="2"/>
          <w:sz w:val="32"/>
          <w:szCs w:val="32"/>
          <w:lang w:val="en-US" w:eastAsia="zh-CN" w:bidi="ar-SA"/>
        </w:rPr>
        <w:t>（五）严格执行审批程序，加强费用审核力度</w:t>
      </w:r>
    </w:p>
    <w:p w14:paraId="304B0D5B">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outlineLvl w:val="9"/>
        <w:rPr>
          <w:rFonts w:hint="default" w:ascii="Times New Roman" w:hAnsi="Times New Roman" w:eastAsia="仿宋_GB2312" w:cs="Times New Roman"/>
          <w:bCs w:val="0"/>
          <w:color w:val="auto"/>
          <w:spacing w:val="0"/>
          <w:kern w:val="2"/>
          <w:sz w:val="32"/>
          <w:szCs w:val="32"/>
          <w:u w:val="none"/>
          <w:lang w:val="en-US" w:eastAsia="zh-CN" w:bidi="ar-SA"/>
        </w:rPr>
      </w:pPr>
      <w:r>
        <w:rPr>
          <w:rFonts w:hint="default" w:ascii="Times New Roman" w:hAnsi="Times New Roman" w:eastAsia="仿宋_GB2312" w:cs="Times New Roman"/>
          <w:bCs w:val="0"/>
          <w:color w:val="auto"/>
          <w:kern w:val="2"/>
          <w:sz w:val="32"/>
          <w:szCs w:val="32"/>
          <w:u w:val="none"/>
          <w:lang w:val="en-US" w:eastAsia="zh-CN" w:bidi="ar-SA"/>
        </w:rPr>
        <w:t>建议学院严格执行相关预算管理和财经制度，严格审批流</w:t>
      </w:r>
      <w:r>
        <w:rPr>
          <w:rFonts w:hint="default" w:ascii="Times New Roman" w:hAnsi="Times New Roman" w:eastAsia="仿宋_GB2312" w:cs="Times New Roman"/>
          <w:bCs w:val="0"/>
          <w:color w:val="auto"/>
          <w:spacing w:val="0"/>
          <w:kern w:val="2"/>
          <w:sz w:val="32"/>
          <w:szCs w:val="32"/>
          <w:u w:val="none"/>
          <w:lang w:val="en-US" w:eastAsia="zh-CN" w:bidi="ar-SA"/>
        </w:rPr>
        <w:t>程，加强原始票据的审核，对不合规票据予以拒绝和退回，规范资金的使用范围，加强资金的监控力度。</w:t>
      </w:r>
    </w:p>
    <w:p w14:paraId="45BD9DB3">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outlineLvl w:val="9"/>
        <w:rPr>
          <w:rFonts w:hint="eastAsia" w:ascii="楷体_GB2312" w:hAnsi="楷体_GB2312" w:eastAsia="楷体_GB2312" w:cs="楷体_GB2312"/>
          <w:b/>
          <w:bCs/>
          <w:color w:val="auto"/>
          <w:spacing w:val="0"/>
          <w:kern w:val="2"/>
          <w:sz w:val="32"/>
          <w:szCs w:val="32"/>
          <w:lang w:val="en-US" w:eastAsia="zh-CN" w:bidi="ar-SA"/>
        </w:rPr>
      </w:pPr>
      <w:r>
        <w:rPr>
          <w:rFonts w:hint="eastAsia" w:ascii="楷体_GB2312" w:hAnsi="楷体_GB2312" w:eastAsia="楷体_GB2312" w:cs="楷体_GB2312"/>
          <w:b/>
          <w:bCs/>
          <w:color w:val="auto"/>
          <w:spacing w:val="0"/>
          <w:kern w:val="2"/>
          <w:sz w:val="32"/>
          <w:szCs w:val="32"/>
          <w:lang w:val="en-US" w:eastAsia="zh-CN" w:bidi="ar-SA"/>
        </w:rPr>
        <w:t>（六）强化会计基础工作，规范财务管理</w:t>
      </w:r>
    </w:p>
    <w:p w14:paraId="2FF46373">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outlineLvl w:val="9"/>
        <w:rPr>
          <w:rFonts w:hint="default" w:ascii="Times New Roman" w:hAnsi="Times New Roman" w:eastAsia="楷体" w:cs="Times New Roman"/>
          <w:b/>
          <w:bCs/>
          <w:color w:val="auto"/>
          <w:spacing w:val="0"/>
          <w:kern w:val="2"/>
          <w:sz w:val="32"/>
          <w:szCs w:val="32"/>
          <w:lang w:val="en-US" w:eastAsia="zh-CN" w:bidi="ar-SA"/>
        </w:rPr>
      </w:pPr>
      <w:r>
        <w:rPr>
          <w:rFonts w:hint="default" w:ascii="Times New Roman" w:hAnsi="Times New Roman" w:eastAsia="仿宋_GB2312" w:cs="Times New Roman"/>
          <w:bCs w:val="0"/>
          <w:color w:val="auto"/>
          <w:spacing w:val="0"/>
          <w:kern w:val="2"/>
          <w:sz w:val="32"/>
          <w:szCs w:val="32"/>
          <w:lang w:val="en-US" w:eastAsia="zh-CN" w:bidi="ar-SA"/>
        </w:rPr>
        <w:t>建议学院要加强《政府会计制度》等业务知识的学习培训，提高财务人员业务能力，规范财务核算，避免账务处理和会计科目使用错误等业务差错。</w:t>
      </w:r>
    </w:p>
    <w:p w14:paraId="73610049">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jc w:val="both"/>
        <w:textAlignment w:val="auto"/>
        <w:outlineLvl w:val="9"/>
        <w:rPr>
          <w:rFonts w:hint="default" w:ascii="Times New Roman" w:hAnsi="Times New Roman" w:eastAsia="仿宋_GB2312" w:cs="Times New Roman"/>
          <w:spacing w:val="0"/>
          <w:sz w:val="32"/>
          <w:szCs w:val="32"/>
        </w:rPr>
      </w:pPr>
    </w:p>
    <w:p w14:paraId="70FD60E9">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643"/>
        <w:jc w:val="both"/>
        <w:textAlignment w:val="auto"/>
        <w:outlineLvl w:val="9"/>
        <w:rPr>
          <w:rFonts w:hint="default" w:ascii="Times New Roman" w:hAnsi="Times New Roman" w:eastAsia="仿宋_GB2312" w:cs="Times New Roman"/>
          <w:bCs w:val="0"/>
          <w:color w:val="auto"/>
          <w:spacing w:val="0"/>
          <w:kern w:val="2"/>
          <w:sz w:val="32"/>
          <w:szCs w:val="32"/>
          <w:lang w:val="en-US" w:eastAsia="zh-CN" w:bidi="ar-SA"/>
        </w:rPr>
      </w:pPr>
      <w:r>
        <w:rPr>
          <w:rFonts w:hint="default" w:ascii="Times New Roman" w:hAnsi="Times New Roman" w:eastAsia="仿宋_GB2312" w:cs="Times New Roman"/>
          <w:spacing w:val="0"/>
          <w:sz w:val="32"/>
          <w:szCs w:val="32"/>
        </w:rPr>
        <w:t>附件：</w:t>
      </w:r>
      <w:r>
        <w:rPr>
          <w:rFonts w:hint="default" w:ascii="Times New Roman" w:hAnsi="Times New Roman" w:eastAsia="仿宋_GB2312" w:cs="Times New Roman"/>
          <w:bCs w:val="0"/>
          <w:color w:val="auto"/>
          <w:spacing w:val="0"/>
          <w:kern w:val="2"/>
          <w:sz w:val="32"/>
          <w:szCs w:val="32"/>
          <w:lang w:val="en-US" w:eastAsia="zh-CN" w:bidi="ar-SA"/>
        </w:rPr>
        <w:t>1.部门整体支出绩效评价基础数据表</w:t>
      </w:r>
    </w:p>
    <w:p w14:paraId="7C244564">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firstLine="1616" w:firstLineChars="505"/>
        <w:jc w:val="both"/>
        <w:textAlignment w:val="auto"/>
        <w:outlineLvl w:val="9"/>
        <w:rPr>
          <w:rFonts w:hint="default" w:ascii="Times New Roman" w:hAnsi="Times New Roman" w:eastAsia="仿宋_GB2312" w:cs="Times New Roman"/>
          <w:bCs w:val="0"/>
          <w:color w:val="auto"/>
          <w:spacing w:val="0"/>
          <w:kern w:val="2"/>
          <w:sz w:val="32"/>
          <w:szCs w:val="32"/>
          <w:lang w:val="en-US" w:eastAsia="zh-CN" w:bidi="ar-SA"/>
        </w:rPr>
      </w:pPr>
      <w:r>
        <w:rPr>
          <w:rFonts w:hint="default" w:ascii="Times New Roman" w:hAnsi="Times New Roman" w:eastAsia="仿宋_GB2312" w:cs="Times New Roman"/>
          <w:bCs w:val="0"/>
          <w:color w:val="auto"/>
          <w:spacing w:val="0"/>
          <w:kern w:val="2"/>
          <w:sz w:val="32"/>
          <w:szCs w:val="32"/>
          <w:lang w:val="en-US" w:eastAsia="zh-CN" w:bidi="ar-SA"/>
        </w:rPr>
        <w:t>2.部门整体支出绩效评价评分表</w:t>
      </w:r>
    </w:p>
    <w:p w14:paraId="6322A36A">
      <w:pPr>
        <w:keepNext w:val="0"/>
        <w:keepLines w:val="0"/>
        <w:pageBreakBefore w:val="0"/>
        <w:widowControl w:val="0"/>
        <w:kinsoku/>
        <w:wordWrap/>
        <w:overflowPunct/>
        <w:topLinePunct w:val="0"/>
        <w:autoSpaceDE w:val="0"/>
        <w:autoSpaceDN w:val="0"/>
        <w:bidi w:val="0"/>
        <w:adjustRightInd/>
        <w:snapToGrid/>
        <w:spacing w:beforeAutospacing="0" w:afterAutospacing="0" w:line="580" w:lineRule="exact"/>
        <w:ind w:left="0" w:leftChars="0"/>
        <w:jc w:val="both"/>
        <w:textAlignment w:val="auto"/>
        <w:rPr>
          <w:rFonts w:hint="default" w:ascii="Times New Roman" w:hAnsi="Times New Roman" w:eastAsia="仿宋_GB2312" w:cs="Times New Roman"/>
          <w:kern w:val="0"/>
          <w:sz w:val="32"/>
          <w:szCs w:val="32"/>
          <w:lang w:val="zh-CN"/>
        </w:rPr>
      </w:pPr>
    </w:p>
    <w:p w14:paraId="16123087">
      <w:pPr>
        <w:pStyle w:val="2"/>
        <w:rPr>
          <w:rFonts w:hint="default" w:ascii="Times New Roman" w:hAnsi="Times New Roman" w:eastAsia="仿宋_GB2312" w:cs="Times New Roman"/>
          <w:kern w:val="0"/>
          <w:sz w:val="32"/>
          <w:szCs w:val="32"/>
          <w:lang w:val="zh-CN"/>
        </w:rPr>
      </w:pPr>
    </w:p>
    <w:p w14:paraId="2A4933B2">
      <w:pPr>
        <w:pStyle w:val="2"/>
        <w:rPr>
          <w:rFonts w:hint="default" w:ascii="Times New Roman" w:hAnsi="Times New Roman" w:eastAsia="仿宋_GB2312" w:cs="Times New Roman"/>
          <w:kern w:val="0"/>
          <w:sz w:val="32"/>
          <w:szCs w:val="32"/>
          <w:lang w:val="zh-CN"/>
        </w:rPr>
      </w:pPr>
    </w:p>
    <w:p w14:paraId="065EB171">
      <w:pPr>
        <w:keepNext w:val="0"/>
        <w:keepLines w:val="0"/>
        <w:pageBreakBefore w:val="0"/>
        <w:widowControl w:val="0"/>
        <w:kinsoku/>
        <w:wordWrap/>
        <w:overflowPunct/>
        <w:topLinePunct w:val="0"/>
        <w:autoSpaceDE w:val="0"/>
        <w:autoSpaceDN w:val="0"/>
        <w:bidi w:val="0"/>
        <w:adjustRightInd/>
        <w:snapToGrid/>
        <w:spacing w:beforeAutospacing="0" w:afterAutospacing="0" w:line="580" w:lineRule="exact"/>
        <w:ind w:left="0" w:leftChars="0"/>
        <w:jc w:val="both"/>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仿宋_GB2312" w:cs="Times New Roman"/>
          <w:kern w:val="0"/>
          <w:sz w:val="32"/>
          <w:szCs w:val="32"/>
          <w:lang w:val="zh-CN"/>
        </w:rPr>
        <w:t>湖南天诚联合会计师事务所</w:t>
      </w:r>
      <w:r>
        <w:rPr>
          <w:rFonts w:hint="default" w:ascii="Times New Roman" w:hAnsi="Times New Roman" w:eastAsia="仿宋_GB2312" w:cs="Times New Roman"/>
          <w:kern w:val="0"/>
          <w:sz w:val="32"/>
          <w:szCs w:val="32"/>
          <w:lang w:val="en-US" w:eastAsia="zh-CN"/>
        </w:rPr>
        <w:t xml:space="preserve">        </w:t>
      </w:r>
      <w:r>
        <w:rPr>
          <w:rFonts w:hint="default" w:ascii="Times New Roman" w:hAnsi="Times New Roman" w:eastAsia="仿宋_GB2312" w:cs="Times New Roman"/>
          <w:kern w:val="0"/>
          <w:sz w:val="32"/>
          <w:szCs w:val="32"/>
          <w:lang w:val="zh-CN"/>
        </w:rPr>
        <w:t>中国注册会计师：</w:t>
      </w:r>
    </w:p>
    <w:p w14:paraId="6B3B6072">
      <w:pPr>
        <w:keepNext w:val="0"/>
        <w:keepLines w:val="0"/>
        <w:pageBreakBefore w:val="0"/>
        <w:widowControl w:val="0"/>
        <w:kinsoku/>
        <w:wordWrap/>
        <w:overflowPunct/>
        <w:topLinePunct w:val="0"/>
        <w:autoSpaceDE w:val="0"/>
        <w:autoSpaceDN w:val="0"/>
        <w:bidi w:val="0"/>
        <w:adjustRightInd/>
        <w:snapToGrid/>
        <w:spacing w:beforeAutospacing="0" w:afterAutospacing="0" w:line="580" w:lineRule="exact"/>
        <w:ind w:left="0" w:leftChars="0" w:firstLine="960" w:firstLineChars="300"/>
        <w:jc w:val="both"/>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仿宋_GB2312" w:cs="Times New Roman"/>
          <w:kern w:val="0"/>
          <w:sz w:val="32"/>
          <w:szCs w:val="32"/>
          <w:lang w:val="zh-CN"/>
        </w:rPr>
        <w:t xml:space="preserve">(普通合伙)  </w:t>
      </w:r>
      <w:r>
        <w:rPr>
          <w:rFonts w:hint="default" w:ascii="Times New Roman" w:hAnsi="Times New Roman" w:eastAsia="仿宋_GB2312" w:cs="Times New Roman"/>
          <w:kern w:val="0"/>
          <w:sz w:val="32"/>
          <w:szCs w:val="32"/>
          <w:lang w:val="zh-CN"/>
        </w:rPr>
        <w:tab/>
      </w:r>
      <w:r>
        <w:rPr>
          <w:rFonts w:hint="default" w:ascii="Times New Roman" w:hAnsi="Times New Roman" w:eastAsia="仿宋_GB2312" w:cs="Times New Roman"/>
          <w:kern w:val="0"/>
          <w:sz w:val="32"/>
          <w:szCs w:val="32"/>
          <w:lang w:val="zh-CN"/>
        </w:rPr>
        <w:tab/>
      </w:r>
      <w:r>
        <w:rPr>
          <w:rFonts w:hint="default" w:ascii="Times New Roman" w:hAnsi="Times New Roman" w:eastAsia="仿宋_GB2312" w:cs="Times New Roman"/>
          <w:kern w:val="0"/>
          <w:sz w:val="32"/>
          <w:szCs w:val="32"/>
          <w:lang w:val="en-US" w:eastAsia="zh-CN"/>
        </w:rPr>
        <w:t xml:space="preserve">             </w:t>
      </w:r>
    </w:p>
    <w:p w14:paraId="69AEC80D">
      <w:pPr>
        <w:keepNext w:val="0"/>
        <w:keepLines w:val="0"/>
        <w:pageBreakBefore w:val="0"/>
        <w:widowControl w:val="0"/>
        <w:kinsoku/>
        <w:wordWrap/>
        <w:overflowPunct/>
        <w:topLinePunct w:val="0"/>
        <w:autoSpaceDE w:val="0"/>
        <w:autoSpaceDN w:val="0"/>
        <w:bidi w:val="0"/>
        <w:adjustRightInd/>
        <w:snapToGrid/>
        <w:spacing w:beforeAutospacing="0" w:afterAutospacing="0" w:line="580" w:lineRule="exact"/>
        <w:ind w:left="0" w:leftChars="0" w:firstLine="960" w:firstLineChars="300"/>
        <w:jc w:val="both"/>
        <w:textAlignment w:val="auto"/>
        <w:rPr>
          <w:rFonts w:hint="default" w:ascii="Times New Roman" w:hAnsi="Times New Roman" w:eastAsia="仿宋_GB2312" w:cs="Times New Roman"/>
          <w:kern w:val="0"/>
          <w:sz w:val="32"/>
          <w:szCs w:val="32"/>
          <w:lang w:val="zh-CN"/>
        </w:rPr>
      </w:pPr>
    </w:p>
    <w:p w14:paraId="733A4A22">
      <w:pPr>
        <w:keepNext w:val="0"/>
        <w:keepLines w:val="0"/>
        <w:pageBreakBefore w:val="0"/>
        <w:widowControl w:val="0"/>
        <w:kinsoku/>
        <w:wordWrap/>
        <w:overflowPunct/>
        <w:topLinePunct w:val="0"/>
        <w:autoSpaceDE w:val="0"/>
        <w:autoSpaceDN w:val="0"/>
        <w:bidi w:val="0"/>
        <w:adjustRightInd/>
        <w:snapToGrid/>
        <w:spacing w:beforeAutospacing="0" w:afterAutospacing="0" w:line="580" w:lineRule="exact"/>
        <w:ind w:left="0" w:leftChars="0" w:firstLine="960" w:firstLineChars="300"/>
        <w:jc w:val="both"/>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仿宋_GB2312" w:cs="Times New Roman"/>
          <w:kern w:val="0"/>
          <w:sz w:val="32"/>
          <w:szCs w:val="32"/>
          <w:lang w:val="zh-CN"/>
        </w:rPr>
        <w:t>中国·衡阳                中国注册会计师：</w:t>
      </w:r>
    </w:p>
    <w:p w14:paraId="23B9A90B">
      <w:pPr>
        <w:pStyle w:val="2"/>
        <w:pageBreakBefore w:val="0"/>
        <w:kinsoku/>
        <w:wordWrap/>
        <w:overflowPunct/>
        <w:topLinePunct w:val="0"/>
        <w:bidi w:val="0"/>
        <w:adjustRightInd/>
        <w:snapToGrid/>
        <w:spacing w:beforeAutospacing="0" w:after="0" w:afterAutospacing="0" w:line="580" w:lineRule="exact"/>
        <w:ind w:left="0" w:leftChars="0"/>
        <w:jc w:val="both"/>
        <w:textAlignment w:val="auto"/>
        <w:rPr>
          <w:rFonts w:hint="default" w:ascii="Times New Roman" w:hAnsi="Times New Roman" w:cs="Times New Roman"/>
          <w:sz w:val="32"/>
          <w:szCs w:val="32"/>
          <w:lang w:val="zh-CN"/>
        </w:rPr>
      </w:pPr>
    </w:p>
    <w:p w14:paraId="1EA73128">
      <w:pPr>
        <w:pStyle w:val="16"/>
        <w:keepNext w:val="0"/>
        <w:keepLines w:val="0"/>
        <w:pageBreakBefore w:val="0"/>
        <w:kinsoku/>
        <w:wordWrap/>
        <w:overflowPunct/>
        <w:topLinePunct w:val="0"/>
        <w:bidi w:val="0"/>
        <w:adjustRightInd/>
        <w:snapToGrid/>
        <w:spacing w:before="0" w:beforeAutospacing="0" w:after="0" w:afterAutospacing="0" w:line="580" w:lineRule="exact"/>
        <w:ind w:left="0" w:leftChars="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5日</w:t>
      </w:r>
    </w:p>
    <w:p w14:paraId="510C0091">
      <w:pPr>
        <w:pStyle w:val="16"/>
        <w:keepNext w:val="0"/>
        <w:keepLines w:val="0"/>
        <w:pageBreakBefore w:val="0"/>
        <w:kinsoku/>
        <w:wordWrap/>
        <w:overflowPunct/>
        <w:topLinePunct w:val="0"/>
        <w:bidi w:val="0"/>
        <w:adjustRightInd/>
        <w:snapToGrid/>
        <w:spacing w:before="0" w:beforeAutospacing="0" w:after="0" w:afterAutospacing="0" w:line="580" w:lineRule="exact"/>
        <w:ind w:left="0" w:leftChars="0"/>
        <w:jc w:val="both"/>
        <w:textAlignment w:val="auto"/>
        <w:rPr>
          <w:rFonts w:hint="default" w:ascii="Times New Roman" w:hAnsi="Times New Roman" w:eastAsia="仿宋_GB2312" w:cs="Times New Roman"/>
          <w:sz w:val="32"/>
          <w:szCs w:val="32"/>
          <w:lang w:val="en-US" w:eastAsia="zh-CN"/>
        </w:rPr>
      </w:pPr>
    </w:p>
    <w:p w14:paraId="5D066041">
      <w:pPr>
        <w:pStyle w:val="16"/>
        <w:keepNext w:val="0"/>
        <w:keepLines w:val="0"/>
        <w:pageBreakBefore w:val="0"/>
        <w:kinsoku/>
        <w:wordWrap/>
        <w:overflowPunct/>
        <w:topLinePunct w:val="0"/>
        <w:bidi w:val="0"/>
        <w:adjustRightInd/>
        <w:snapToGrid/>
        <w:spacing w:before="0" w:beforeAutospacing="0" w:after="0" w:afterAutospacing="0" w:line="580" w:lineRule="exact"/>
        <w:ind w:left="0" w:leftChars="0"/>
        <w:jc w:val="both"/>
        <w:textAlignment w:val="auto"/>
        <w:rPr>
          <w:rFonts w:hint="default" w:ascii="Times New Roman" w:hAnsi="Times New Roman" w:eastAsia="仿宋_GB2312" w:cs="Times New Roman"/>
          <w:sz w:val="32"/>
          <w:szCs w:val="32"/>
          <w:lang w:val="en-US" w:eastAsia="zh-CN"/>
        </w:rPr>
      </w:pPr>
    </w:p>
    <w:p w14:paraId="4E621588">
      <w:pPr>
        <w:ind w:right="640"/>
        <w:rPr>
          <w:rFonts w:hint="eastAsia" w:ascii="仿宋" w:hAnsi="仿宋" w:eastAsia="仿宋" w:cs="仿宋"/>
          <w:kern w:val="0"/>
          <w:sz w:val="36"/>
          <w:szCs w:val="36"/>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 xml:space="preserve">      </w:t>
      </w:r>
      <w:r>
        <w:rPr>
          <w:rFonts w:hint="eastAsia" w:ascii="仿宋" w:hAnsi="仿宋" w:eastAsia="仿宋" w:cs="仿宋"/>
          <w:kern w:val="0"/>
          <w:sz w:val="36"/>
          <w:szCs w:val="36"/>
        </w:rPr>
        <w:t xml:space="preserve"> </w:t>
      </w:r>
    </w:p>
    <w:p w14:paraId="5C188C06">
      <w:pPr>
        <w:ind w:left="359" w:leftChars="171" w:right="640" w:firstLine="1446" w:firstLineChars="400"/>
        <w:rPr>
          <w:rFonts w:hint="eastAsia" w:ascii="仿宋" w:hAnsi="仿宋" w:eastAsia="仿宋" w:cs="仿宋"/>
          <w:sz w:val="36"/>
          <w:szCs w:val="36"/>
        </w:rPr>
      </w:pPr>
      <w:r>
        <w:rPr>
          <w:rFonts w:hint="eastAsia" w:ascii="仿宋" w:hAnsi="仿宋" w:eastAsia="仿宋" w:cs="仿宋"/>
          <w:b/>
          <w:bCs/>
          <w:sz w:val="36"/>
          <w:szCs w:val="36"/>
        </w:rPr>
        <w:t>部门整体支出绩效评价基础数据表</w:t>
      </w:r>
      <w:r>
        <w:rPr>
          <w:rFonts w:hint="eastAsia" w:ascii="仿宋" w:hAnsi="仿宋" w:eastAsia="仿宋" w:cs="仿宋"/>
          <w:sz w:val="36"/>
          <w:szCs w:val="36"/>
        </w:rPr>
        <w:t xml:space="preserve">  </w:t>
      </w:r>
    </w:p>
    <w:p w14:paraId="3EDF0F98">
      <w:pPr>
        <w:ind w:right="-88" w:rightChars="0"/>
        <w:jc w:val="left"/>
        <w:rPr>
          <w:rFonts w:hint="eastAsia" w:ascii="仿宋" w:hAnsi="仿宋" w:eastAsia="仿宋" w:cs="仿宋"/>
          <w:kern w:val="0"/>
          <w:sz w:val="24"/>
        </w:rPr>
      </w:pPr>
      <w:r>
        <w:rPr>
          <w:rFonts w:hint="eastAsia" w:ascii="仿宋" w:hAnsi="仿宋" w:eastAsia="仿宋" w:cs="仿宋"/>
          <w:kern w:val="0"/>
          <w:sz w:val="24"/>
        </w:rPr>
        <w:t>填报单位：湖南财经工业职业技术学院</w:t>
      </w:r>
      <w:r>
        <w:rPr>
          <w:rFonts w:hint="eastAsia" w:ascii="仿宋" w:hAnsi="仿宋" w:eastAsia="仿宋" w:cs="仿宋"/>
          <w:kern w:val="0"/>
          <w:sz w:val="24"/>
        </w:rPr>
        <w:tab/>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ab/>
      </w:r>
      <w:r>
        <w:rPr>
          <w:rFonts w:hint="eastAsia" w:ascii="仿宋" w:hAnsi="仿宋" w:eastAsia="仿宋" w:cs="仿宋"/>
          <w:kern w:val="0"/>
          <w:sz w:val="24"/>
          <w:lang w:val="en-US" w:eastAsia="zh-CN"/>
        </w:rPr>
        <w:t xml:space="preserve">            </w:t>
      </w:r>
      <w:r>
        <w:rPr>
          <w:rFonts w:eastAsia="仿宋"/>
          <w:kern w:val="0"/>
          <w:sz w:val="24"/>
        </w:rPr>
        <w:t>金额单位：万元</w:t>
      </w:r>
    </w:p>
    <w:tbl>
      <w:tblPr>
        <w:tblStyle w:val="18"/>
        <w:tblW w:w="9464" w:type="dxa"/>
        <w:jc w:val="center"/>
        <w:tblLayout w:type="fixed"/>
        <w:tblCellMar>
          <w:top w:w="0" w:type="dxa"/>
          <w:left w:w="108" w:type="dxa"/>
          <w:bottom w:w="0" w:type="dxa"/>
          <w:right w:w="108" w:type="dxa"/>
        </w:tblCellMar>
      </w:tblPr>
      <w:tblGrid>
        <w:gridCol w:w="3354"/>
        <w:gridCol w:w="2038"/>
        <w:gridCol w:w="2240"/>
        <w:gridCol w:w="1832"/>
      </w:tblGrid>
      <w:tr w14:paraId="6692A9B2">
        <w:tblPrEx>
          <w:tblCellMar>
            <w:top w:w="0" w:type="dxa"/>
            <w:left w:w="108" w:type="dxa"/>
            <w:bottom w:w="0" w:type="dxa"/>
            <w:right w:w="108" w:type="dxa"/>
          </w:tblCellMar>
        </w:tblPrEx>
        <w:trPr>
          <w:trHeight w:val="454"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74BA4D79">
            <w:pPr>
              <w:widowControl/>
              <w:jc w:val="center"/>
              <w:rPr>
                <w:rFonts w:hint="eastAsia" w:ascii="仿宋" w:hAnsi="仿宋" w:eastAsia="仿宋" w:cs="仿宋"/>
                <w:kern w:val="0"/>
                <w:szCs w:val="21"/>
              </w:rPr>
            </w:pPr>
            <w:r>
              <w:rPr>
                <w:rFonts w:hint="eastAsia" w:ascii="仿宋" w:hAnsi="仿宋" w:eastAsia="仿宋" w:cs="仿宋"/>
                <w:kern w:val="0"/>
                <w:szCs w:val="21"/>
              </w:rPr>
              <w:t>财政供养人员情况</w:t>
            </w:r>
          </w:p>
        </w:tc>
        <w:tc>
          <w:tcPr>
            <w:tcW w:w="2038" w:type="dxa"/>
            <w:tcBorders>
              <w:top w:val="single" w:color="auto" w:sz="4" w:space="0"/>
              <w:left w:val="nil"/>
              <w:bottom w:val="single" w:color="auto" w:sz="4" w:space="0"/>
              <w:right w:val="single" w:color="auto" w:sz="4" w:space="0"/>
            </w:tcBorders>
            <w:vAlign w:val="center"/>
          </w:tcPr>
          <w:p w14:paraId="634BCF1C">
            <w:pPr>
              <w:widowControl/>
              <w:jc w:val="center"/>
              <w:rPr>
                <w:rFonts w:hint="eastAsia" w:ascii="仿宋" w:hAnsi="仿宋" w:eastAsia="仿宋" w:cs="仿宋"/>
                <w:b/>
                <w:bCs/>
                <w:kern w:val="0"/>
                <w:szCs w:val="21"/>
              </w:rPr>
            </w:pPr>
            <w:r>
              <w:rPr>
                <w:rFonts w:hint="eastAsia" w:ascii="仿宋" w:hAnsi="仿宋" w:eastAsia="仿宋" w:cs="仿宋"/>
                <w:b/>
                <w:bCs/>
                <w:kern w:val="0"/>
                <w:szCs w:val="21"/>
              </w:rPr>
              <w:t>编制数</w:t>
            </w:r>
          </w:p>
        </w:tc>
        <w:tc>
          <w:tcPr>
            <w:tcW w:w="2240" w:type="dxa"/>
            <w:tcBorders>
              <w:top w:val="single" w:color="auto" w:sz="4" w:space="0"/>
              <w:left w:val="nil"/>
              <w:bottom w:val="single" w:color="auto" w:sz="4" w:space="0"/>
              <w:right w:val="single" w:color="auto" w:sz="4" w:space="0"/>
            </w:tcBorders>
            <w:vAlign w:val="center"/>
          </w:tcPr>
          <w:p w14:paraId="11F76CF9">
            <w:pPr>
              <w:widowControl/>
              <w:jc w:val="center"/>
              <w:rPr>
                <w:rFonts w:hint="eastAsia" w:ascii="仿宋" w:hAnsi="仿宋" w:eastAsia="仿宋" w:cs="仿宋"/>
                <w:b/>
                <w:bCs/>
                <w:kern w:val="0"/>
                <w:szCs w:val="21"/>
              </w:rPr>
            </w:pPr>
            <w:r>
              <w:rPr>
                <w:rFonts w:hint="eastAsia" w:ascii="仿宋" w:hAnsi="仿宋" w:eastAsia="仿宋" w:cs="仿宋"/>
                <w:b/>
                <w:bCs/>
                <w:kern w:val="0"/>
                <w:szCs w:val="21"/>
              </w:rPr>
              <w:t>2022年实际在职人数</w:t>
            </w:r>
          </w:p>
        </w:tc>
        <w:tc>
          <w:tcPr>
            <w:tcW w:w="1832" w:type="dxa"/>
            <w:tcBorders>
              <w:top w:val="single" w:color="auto" w:sz="4" w:space="0"/>
              <w:left w:val="nil"/>
              <w:bottom w:val="single" w:color="auto" w:sz="4" w:space="0"/>
              <w:right w:val="single" w:color="auto" w:sz="4" w:space="0"/>
            </w:tcBorders>
            <w:vAlign w:val="center"/>
          </w:tcPr>
          <w:p w14:paraId="50664249">
            <w:pPr>
              <w:widowControl/>
              <w:jc w:val="center"/>
              <w:rPr>
                <w:rFonts w:hint="eastAsia" w:ascii="仿宋" w:hAnsi="仿宋" w:eastAsia="仿宋" w:cs="仿宋"/>
                <w:b/>
                <w:bCs/>
                <w:kern w:val="0"/>
                <w:szCs w:val="21"/>
              </w:rPr>
            </w:pPr>
            <w:r>
              <w:rPr>
                <w:rFonts w:hint="eastAsia" w:ascii="仿宋" w:hAnsi="仿宋" w:eastAsia="仿宋" w:cs="仿宋"/>
                <w:b/>
                <w:bCs/>
                <w:kern w:val="0"/>
                <w:szCs w:val="21"/>
              </w:rPr>
              <w:t>控制率</w:t>
            </w:r>
          </w:p>
        </w:tc>
      </w:tr>
      <w:tr w14:paraId="0E847249">
        <w:tblPrEx>
          <w:tblCellMar>
            <w:top w:w="0" w:type="dxa"/>
            <w:left w:w="108" w:type="dxa"/>
            <w:bottom w:w="0" w:type="dxa"/>
            <w:right w:w="108" w:type="dxa"/>
          </w:tblCellMar>
        </w:tblPrEx>
        <w:trPr>
          <w:trHeight w:val="454"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296E681E">
            <w:pPr>
              <w:widowControl/>
              <w:jc w:val="left"/>
              <w:rPr>
                <w:rFonts w:hint="eastAsia" w:ascii="仿宋" w:hAnsi="仿宋" w:eastAsia="仿宋" w:cs="仿宋"/>
                <w:kern w:val="0"/>
                <w:szCs w:val="21"/>
              </w:rPr>
            </w:pPr>
          </w:p>
        </w:tc>
        <w:tc>
          <w:tcPr>
            <w:tcW w:w="2038" w:type="dxa"/>
            <w:tcBorders>
              <w:top w:val="single" w:color="auto" w:sz="4" w:space="0"/>
              <w:left w:val="nil"/>
              <w:bottom w:val="single" w:color="auto" w:sz="4" w:space="0"/>
              <w:right w:val="single" w:color="auto" w:sz="4" w:space="0"/>
            </w:tcBorders>
            <w:vAlign w:val="center"/>
          </w:tcPr>
          <w:p w14:paraId="3C6ACDDD">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755</w:t>
            </w:r>
          </w:p>
        </w:tc>
        <w:tc>
          <w:tcPr>
            <w:tcW w:w="2240" w:type="dxa"/>
            <w:tcBorders>
              <w:top w:val="single" w:color="auto" w:sz="4" w:space="0"/>
              <w:left w:val="nil"/>
              <w:bottom w:val="single" w:color="auto" w:sz="4" w:space="0"/>
              <w:right w:val="single" w:color="auto" w:sz="4" w:space="0"/>
            </w:tcBorders>
            <w:vAlign w:val="center"/>
          </w:tcPr>
          <w:p w14:paraId="638EA739">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542</w:t>
            </w:r>
          </w:p>
        </w:tc>
        <w:tc>
          <w:tcPr>
            <w:tcW w:w="1832" w:type="dxa"/>
            <w:tcBorders>
              <w:top w:val="single" w:color="auto" w:sz="4" w:space="0"/>
              <w:left w:val="nil"/>
              <w:bottom w:val="single" w:color="auto" w:sz="4" w:space="0"/>
              <w:right w:val="single" w:color="auto" w:sz="4" w:space="0"/>
            </w:tcBorders>
            <w:vAlign w:val="center"/>
          </w:tcPr>
          <w:p w14:paraId="49213E2E">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71.79%</w:t>
            </w:r>
          </w:p>
        </w:tc>
      </w:tr>
      <w:tr w14:paraId="0CA8685F">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646E61A7">
            <w:pPr>
              <w:widowControl/>
              <w:jc w:val="center"/>
              <w:rPr>
                <w:rFonts w:hint="eastAsia" w:ascii="仿宋" w:hAnsi="仿宋" w:eastAsia="仿宋" w:cs="仿宋"/>
                <w:kern w:val="0"/>
                <w:szCs w:val="21"/>
              </w:rPr>
            </w:pPr>
            <w:r>
              <w:rPr>
                <w:rFonts w:hint="eastAsia" w:ascii="仿宋" w:hAnsi="仿宋" w:eastAsia="仿宋" w:cs="仿宋"/>
                <w:kern w:val="0"/>
                <w:szCs w:val="21"/>
              </w:rPr>
              <w:t>经费控制情况</w:t>
            </w:r>
          </w:p>
        </w:tc>
        <w:tc>
          <w:tcPr>
            <w:tcW w:w="2038" w:type="dxa"/>
            <w:tcBorders>
              <w:top w:val="single" w:color="auto" w:sz="4" w:space="0"/>
              <w:left w:val="nil"/>
              <w:bottom w:val="single" w:color="auto" w:sz="4" w:space="0"/>
              <w:right w:val="single" w:color="000000" w:sz="4" w:space="0"/>
            </w:tcBorders>
            <w:vAlign w:val="center"/>
          </w:tcPr>
          <w:p w14:paraId="09CAC806">
            <w:pPr>
              <w:widowControl/>
              <w:jc w:val="center"/>
              <w:rPr>
                <w:rFonts w:hint="eastAsia" w:ascii="仿宋" w:hAnsi="仿宋" w:eastAsia="仿宋" w:cs="仿宋"/>
                <w:b/>
                <w:bCs/>
                <w:kern w:val="0"/>
                <w:szCs w:val="21"/>
              </w:rPr>
            </w:pPr>
            <w:r>
              <w:rPr>
                <w:rFonts w:hint="eastAsia" w:ascii="仿宋" w:hAnsi="仿宋" w:eastAsia="仿宋" w:cs="仿宋"/>
                <w:b/>
                <w:bCs/>
                <w:kern w:val="0"/>
                <w:szCs w:val="21"/>
              </w:rPr>
              <w:t>2021年决算数</w:t>
            </w:r>
          </w:p>
        </w:tc>
        <w:tc>
          <w:tcPr>
            <w:tcW w:w="2240" w:type="dxa"/>
            <w:tcBorders>
              <w:top w:val="single" w:color="auto" w:sz="4" w:space="0"/>
              <w:left w:val="nil"/>
              <w:bottom w:val="single" w:color="auto" w:sz="4" w:space="0"/>
              <w:right w:val="single" w:color="000000" w:sz="4" w:space="0"/>
            </w:tcBorders>
            <w:vAlign w:val="center"/>
          </w:tcPr>
          <w:p w14:paraId="0D19DA1E">
            <w:pPr>
              <w:widowControl/>
              <w:jc w:val="center"/>
              <w:rPr>
                <w:rFonts w:hint="eastAsia" w:ascii="仿宋" w:hAnsi="仿宋" w:eastAsia="仿宋" w:cs="仿宋"/>
                <w:b/>
                <w:bCs/>
                <w:kern w:val="0"/>
                <w:szCs w:val="21"/>
              </w:rPr>
            </w:pPr>
            <w:r>
              <w:rPr>
                <w:rFonts w:hint="eastAsia" w:ascii="仿宋" w:hAnsi="仿宋" w:eastAsia="仿宋" w:cs="仿宋"/>
                <w:b/>
                <w:bCs/>
                <w:kern w:val="0"/>
                <w:szCs w:val="21"/>
              </w:rPr>
              <w:t>2022年预算数</w:t>
            </w:r>
          </w:p>
        </w:tc>
        <w:tc>
          <w:tcPr>
            <w:tcW w:w="1832" w:type="dxa"/>
            <w:tcBorders>
              <w:top w:val="single" w:color="auto" w:sz="4" w:space="0"/>
              <w:left w:val="nil"/>
              <w:bottom w:val="single" w:color="auto" w:sz="4" w:space="0"/>
              <w:right w:val="single" w:color="000000" w:sz="4" w:space="0"/>
            </w:tcBorders>
            <w:vAlign w:val="center"/>
          </w:tcPr>
          <w:p w14:paraId="01EDD0E9">
            <w:pPr>
              <w:widowControl/>
              <w:jc w:val="center"/>
              <w:rPr>
                <w:rFonts w:hint="eastAsia" w:ascii="仿宋" w:hAnsi="仿宋" w:eastAsia="仿宋" w:cs="仿宋"/>
                <w:b/>
                <w:bCs/>
                <w:kern w:val="0"/>
                <w:szCs w:val="21"/>
              </w:rPr>
            </w:pPr>
            <w:r>
              <w:rPr>
                <w:rFonts w:hint="eastAsia" w:ascii="仿宋" w:hAnsi="仿宋" w:eastAsia="仿宋" w:cs="仿宋"/>
                <w:b/>
                <w:bCs/>
                <w:kern w:val="0"/>
                <w:szCs w:val="21"/>
              </w:rPr>
              <w:t>2022年决算数</w:t>
            </w:r>
          </w:p>
        </w:tc>
      </w:tr>
      <w:tr w14:paraId="15A548B8">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0E759013">
            <w:pPr>
              <w:widowControl/>
              <w:jc w:val="left"/>
              <w:rPr>
                <w:rFonts w:hint="eastAsia" w:ascii="仿宋" w:hAnsi="仿宋" w:eastAsia="仿宋" w:cs="仿宋"/>
                <w:kern w:val="0"/>
                <w:szCs w:val="21"/>
              </w:rPr>
            </w:pPr>
            <w:r>
              <w:rPr>
                <w:rFonts w:hint="eastAsia" w:ascii="仿宋" w:hAnsi="仿宋" w:eastAsia="仿宋" w:cs="仿宋"/>
                <w:kern w:val="0"/>
                <w:szCs w:val="21"/>
              </w:rPr>
              <w:t>一、部门基本支出</w:t>
            </w:r>
          </w:p>
        </w:tc>
        <w:tc>
          <w:tcPr>
            <w:tcW w:w="2038" w:type="dxa"/>
            <w:tcBorders>
              <w:top w:val="single" w:color="auto" w:sz="4" w:space="0"/>
              <w:left w:val="nil"/>
              <w:bottom w:val="single" w:color="auto" w:sz="4" w:space="0"/>
              <w:right w:val="single" w:color="000000" w:sz="4" w:space="0"/>
            </w:tcBorders>
            <w:vAlign w:val="center"/>
          </w:tcPr>
          <w:p w14:paraId="45FF93EF">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17,034.53 </w:t>
            </w:r>
          </w:p>
        </w:tc>
        <w:tc>
          <w:tcPr>
            <w:tcW w:w="2240" w:type="dxa"/>
            <w:tcBorders>
              <w:top w:val="single" w:color="auto" w:sz="4" w:space="0"/>
              <w:left w:val="nil"/>
              <w:bottom w:val="single" w:color="auto" w:sz="4" w:space="0"/>
              <w:right w:val="single" w:color="000000" w:sz="4" w:space="0"/>
            </w:tcBorders>
            <w:vAlign w:val="center"/>
          </w:tcPr>
          <w:p w14:paraId="41E63DB4">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17,438.14 </w:t>
            </w:r>
          </w:p>
        </w:tc>
        <w:tc>
          <w:tcPr>
            <w:tcW w:w="1832" w:type="dxa"/>
            <w:tcBorders>
              <w:top w:val="single" w:color="auto" w:sz="4" w:space="0"/>
              <w:left w:val="nil"/>
              <w:bottom w:val="single" w:color="auto" w:sz="4" w:space="0"/>
              <w:right w:val="single" w:color="000000" w:sz="4" w:space="0"/>
            </w:tcBorders>
            <w:vAlign w:val="center"/>
          </w:tcPr>
          <w:p w14:paraId="302D1E50">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17,438.14 </w:t>
            </w:r>
          </w:p>
        </w:tc>
      </w:tr>
      <w:tr w14:paraId="100ADF51">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4CB173F5">
            <w:pPr>
              <w:widowControl/>
              <w:jc w:val="left"/>
              <w:rPr>
                <w:rFonts w:hint="eastAsia" w:ascii="仿宋" w:hAnsi="仿宋" w:eastAsia="仿宋" w:cs="仿宋"/>
                <w:kern w:val="0"/>
                <w:szCs w:val="21"/>
              </w:rPr>
            </w:pPr>
            <w:r>
              <w:rPr>
                <w:rFonts w:eastAsia="仿宋"/>
                <w:kern w:val="0"/>
                <w:szCs w:val="21"/>
              </w:rPr>
              <w:t>其中：公用经费</w:t>
            </w:r>
          </w:p>
        </w:tc>
        <w:tc>
          <w:tcPr>
            <w:tcW w:w="2038" w:type="dxa"/>
            <w:tcBorders>
              <w:top w:val="single" w:color="auto" w:sz="4" w:space="0"/>
              <w:left w:val="nil"/>
              <w:bottom w:val="single" w:color="auto" w:sz="4" w:space="0"/>
              <w:right w:val="single" w:color="000000" w:sz="4" w:space="0"/>
            </w:tcBorders>
            <w:vAlign w:val="center"/>
          </w:tcPr>
          <w:p w14:paraId="1C275F12">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5,102.41 </w:t>
            </w:r>
          </w:p>
        </w:tc>
        <w:tc>
          <w:tcPr>
            <w:tcW w:w="2240" w:type="dxa"/>
            <w:tcBorders>
              <w:top w:val="single" w:color="auto" w:sz="4" w:space="0"/>
              <w:left w:val="nil"/>
              <w:bottom w:val="single" w:color="auto" w:sz="4" w:space="0"/>
              <w:right w:val="single" w:color="000000" w:sz="4" w:space="0"/>
            </w:tcBorders>
            <w:vAlign w:val="center"/>
          </w:tcPr>
          <w:p w14:paraId="4F05950B">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4,478.00 </w:t>
            </w:r>
          </w:p>
        </w:tc>
        <w:tc>
          <w:tcPr>
            <w:tcW w:w="1832" w:type="dxa"/>
            <w:tcBorders>
              <w:top w:val="single" w:color="auto" w:sz="4" w:space="0"/>
              <w:left w:val="nil"/>
              <w:bottom w:val="single" w:color="auto" w:sz="4" w:space="0"/>
              <w:right w:val="single" w:color="000000" w:sz="4" w:space="0"/>
            </w:tcBorders>
            <w:vAlign w:val="center"/>
          </w:tcPr>
          <w:p w14:paraId="0BBF6213">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4,477.72 </w:t>
            </w:r>
          </w:p>
        </w:tc>
      </w:tr>
      <w:tr w14:paraId="4FCC4831">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34C052C9">
            <w:pPr>
              <w:widowControl/>
              <w:jc w:val="left"/>
              <w:rPr>
                <w:rFonts w:hint="eastAsia" w:ascii="仿宋" w:hAnsi="仿宋" w:eastAsia="仿宋" w:cs="仿宋"/>
                <w:kern w:val="0"/>
                <w:szCs w:val="21"/>
              </w:rPr>
            </w:pPr>
            <w:r>
              <w:rPr>
                <w:rFonts w:eastAsia="仿宋"/>
                <w:kern w:val="0"/>
                <w:szCs w:val="21"/>
              </w:rPr>
              <w:t xml:space="preserve">      其中：办公经费</w:t>
            </w:r>
          </w:p>
        </w:tc>
        <w:tc>
          <w:tcPr>
            <w:tcW w:w="2038" w:type="dxa"/>
            <w:tcBorders>
              <w:top w:val="single" w:color="auto" w:sz="4" w:space="0"/>
              <w:left w:val="nil"/>
              <w:bottom w:val="single" w:color="auto" w:sz="4" w:space="0"/>
              <w:right w:val="single" w:color="000000" w:sz="4" w:space="0"/>
            </w:tcBorders>
            <w:vAlign w:val="center"/>
          </w:tcPr>
          <w:p w14:paraId="77BF1D08">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420.50 </w:t>
            </w:r>
          </w:p>
        </w:tc>
        <w:tc>
          <w:tcPr>
            <w:tcW w:w="2240" w:type="dxa"/>
            <w:tcBorders>
              <w:top w:val="single" w:color="auto" w:sz="4" w:space="0"/>
              <w:left w:val="nil"/>
              <w:bottom w:val="single" w:color="auto" w:sz="4" w:space="0"/>
              <w:right w:val="single" w:color="000000" w:sz="4" w:space="0"/>
            </w:tcBorders>
            <w:vAlign w:val="center"/>
          </w:tcPr>
          <w:p w14:paraId="234AF491">
            <w:pPr>
              <w:keepNext w:val="0"/>
              <w:keepLines w:val="0"/>
              <w:widowControl/>
              <w:suppressLineNumbers w:val="0"/>
              <w:jc w:val="right"/>
              <w:textAlignment w:val="center"/>
              <w:rPr>
                <w:rFonts w:hint="eastAsia" w:ascii="仿宋" w:hAnsi="仿宋" w:eastAsia="仿宋" w:cs="仿宋"/>
                <w:kern w:val="0"/>
                <w:szCs w:val="21"/>
                <w:lang w:val="en-US"/>
              </w:rPr>
            </w:pPr>
            <w:r>
              <w:rPr>
                <w:rFonts w:hint="eastAsia" w:ascii="宋体" w:hAnsi="宋体" w:eastAsia="宋体" w:cs="宋体"/>
                <w:i w:val="0"/>
                <w:iCs w:val="0"/>
                <w:color w:val="000000"/>
                <w:kern w:val="0"/>
                <w:sz w:val="22"/>
                <w:szCs w:val="22"/>
                <w:u w:val="none"/>
                <w:lang w:val="en-US" w:eastAsia="zh-CN" w:bidi="ar"/>
              </w:rPr>
              <w:t xml:space="preserve">572.00 </w:t>
            </w:r>
          </w:p>
        </w:tc>
        <w:tc>
          <w:tcPr>
            <w:tcW w:w="1832" w:type="dxa"/>
            <w:tcBorders>
              <w:top w:val="single" w:color="auto" w:sz="4" w:space="0"/>
              <w:left w:val="nil"/>
              <w:bottom w:val="single" w:color="auto" w:sz="4" w:space="0"/>
              <w:right w:val="single" w:color="000000" w:sz="4" w:space="0"/>
            </w:tcBorders>
            <w:vAlign w:val="center"/>
          </w:tcPr>
          <w:p w14:paraId="101F847A">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571.15 </w:t>
            </w:r>
          </w:p>
        </w:tc>
      </w:tr>
      <w:tr w14:paraId="73686756">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6EC99838">
            <w:pPr>
              <w:widowControl/>
              <w:jc w:val="left"/>
              <w:rPr>
                <w:rFonts w:hint="eastAsia" w:ascii="仿宋" w:hAnsi="仿宋" w:eastAsia="仿宋" w:cs="仿宋"/>
                <w:kern w:val="0"/>
                <w:szCs w:val="21"/>
              </w:rPr>
            </w:pPr>
            <w:r>
              <w:rPr>
                <w:rFonts w:eastAsia="仿宋"/>
                <w:kern w:val="0"/>
                <w:szCs w:val="21"/>
              </w:rPr>
              <w:t xml:space="preserve">          水费、电费、差旅费</w:t>
            </w:r>
          </w:p>
        </w:tc>
        <w:tc>
          <w:tcPr>
            <w:tcW w:w="2038" w:type="dxa"/>
            <w:tcBorders>
              <w:top w:val="single" w:color="auto" w:sz="4" w:space="0"/>
              <w:left w:val="nil"/>
              <w:bottom w:val="single" w:color="auto" w:sz="4" w:space="0"/>
              <w:right w:val="single" w:color="000000" w:sz="4" w:space="0"/>
            </w:tcBorders>
            <w:vAlign w:val="center"/>
          </w:tcPr>
          <w:p w14:paraId="12219A59">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1,006.27 </w:t>
            </w:r>
          </w:p>
        </w:tc>
        <w:tc>
          <w:tcPr>
            <w:tcW w:w="2240" w:type="dxa"/>
            <w:tcBorders>
              <w:top w:val="single" w:color="auto" w:sz="4" w:space="0"/>
              <w:left w:val="nil"/>
              <w:bottom w:val="single" w:color="auto" w:sz="4" w:space="0"/>
              <w:right w:val="single" w:color="000000" w:sz="4" w:space="0"/>
            </w:tcBorders>
            <w:vAlign w:val="center"/>
          </w:tcPr>
          <w:p w14:paraId="45627E8D">
            <w:pPr>
              <w:keepNext w:val="0"/>
              <w:keepLines w:val="0"/>
              <w:widowControl/>
              <w:suppressLineNumbers w:val="0"/>
              <w:jc w:val="right"/>
              <w:textAlignment w:val="center"/>
              <w:rPr>
                <w:rFonts w:hint="eastAsia" w:ascii="仿宋" w:hAnsi="仿宋" w:eastAsia="仿宋" w:cs="仿宋"/>
                <w:kern w:val="0"/>
                <w:szCs w:val="21"/>
                <w:lang w:val="en-US"/>
              </w:rPr>
            </w:pPr>
            <w:r>
              <w:rPr>
                <w:rFonts w:hint="eastAsia" w:ascii="宋体" w:hAnsi="宋体" w:eastAsia="宋体" w:cs="宋体"/>
                <w:i w:val="0"/>
                <w:iCs w:val="0"/>
                <w:color w:val="000000"/>
                <w:kern w:val="0"/>
                <w:sz w:val="22"/>
                <w:szCs w:val="22"/>
                <w:u w:val="none"/>
                <w:lang w:val="en-US" w:eastAsia="zh-CN" w:bidi="ar"/>
              </w:rPr>
              <w:t xml:space="preserve">1,075.50 </w:t>
            </w:r>
          </w:p>
        </w:tc>
        <w:tc>
          <w:tcPr>
            <w:tcW w:w="1832" w:type="dxa"/>
            <w:tcBorders>
              <w:top w:val="single" w:color="auto" w:sz="4" w:space="0"/>
              <w:left w:val="nil"/>
              <w:bottom w:val="single" w:color="auto" w:sz="4" w:space="0"/>
              <w:right w:val="single" w:color="000000" w:sz="4" w:space="0"/>
            </w:tcBorders>
            <w:vAlign w:val="center"/>
          </w:tcPr>
          <w:p w14:paraId="2DC7ACF1">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1,075.27 </w:t>
            </w:r>
          </w:p>
        </w:tc>
      </w:tr>
      <w:tr w14:paraId="3FCE99B6">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35A69004">
            <w:pPr>
              <w:widowControl/>
              <w:jc w:val="left"/>
              <w:rPr>
                <w:rFonts w:hint="eastAsia" w:ascii="仿宋" w:hAnsi="仿宋" w:eastAsia="仿宋" w:cs="仿宋"/>
                <w:kern w:val="0"/>
                <w:szCs w:val="21"/>
              </w:rPr>
            </w:pPr>
            <w:r>
              <w:rPr>
                <w:rFonts w:eastAsia="仿宋"/>
                <w:kern w:val="0"/>
                <w:szCs w:val="21"/>
              </w:rPr>
              <w:t xml:space="preserve">          会议费、培训费</w:t>
            </w:r>
          </w:p>
        </w:tc>
        <w:tc>
          <w:tcPr>
            <w:tcW w:w="2038" w:type="dxa"/>
            <w:tcBorders>
              <w:top w:val="single" w:color="auto" w:sz="4" w:space="0"/>
              <w:left w:val="nil"/>
              <w:bottom w:val="single" w:color="auto" w:sz="4" w:space="0"/>
              <w:right w:val="single" w:color="000000" w:sz="4" w:space="0"/>
            </w:tcBorders>
            <w:vAlign w:val="center"/>
          </w:tcPr>
          <w:p w14:paraId="5D6493A1">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86.88 </w:t>
            </w:r>
          </w:p>
        </w:tc>
        <w:tc>
          <w:tcPr>
            <w:tcW w:w="2240" w:type="dxa"/>
            <w:tcBorders>
              <w:top w:val="single" w:color="auto" w:sz="4" w:space="0"/>
              <w:left w:val="nil"/>
              <w:bottom w:val="single" w:color="auto" w:sz="4" w:space="0"/>
              <w:right w:val="single" w:color="000000" w:sz="4" w:space="0"/>
            </w:tcBorders>
            <w:vAlign w:val="center"/>
          </w:tcPr>
          <w:p w14:paraId="3EFF6B21">
            <w:pPr>
              <w:keepNext w:val="0"/>
              <w:keepLines w:val="0"/>
              <w:widowControl/>
              <w:suppressLineNumbers w:val="0"/>
              <w:jc w:val="right"/>
              <w:textAlignment w:val="center"/>
              <w:rPr>
                <w:rFonts w:hint="eastAsia" w:ascii="仿宋" w:hAnsi="仿宋" w:eastAsia="仿宋" w:cs="仿宋"/>
                <w:kern w:val="0"/>
                <w:szCs w:val="21"/>
                <w:lang w:val="en-US"/>
              </w:rPr>
            </w:pPr>
            <w:r>
              <w:rPr>
                <w:rFonts w:hint="eastAsia" w:ascii="宋体" w:hAnsi="宋体" w:eastAsia="宋体" w:cs="宋体"/>
                <w:i w:val="0"/>
                <w:iCs w:val="0"/>
                <w:color w:val="000000"/>
                <w:kern w:val="0"/>
                <w:sz w:val="22"/>
                <w:szCs w:val="22"/>
                <w:u w:val="none"/>
                <w:lang w:val="en-US" w:eastAsia="zh-CN" w:bidi="ar"/>
              </w:rPr>
              <w:t xml:space="preserve">48.90 </w:t>
            </w:r>
          </w:p>
        </w:tc>
        <w:tc>
          <w:tcPr>
            <w:tcW w:w="1832" w:type="dxa"/>
            <w:tcBorders>
              <w:top w:val="single" w:color="auto" w:sz="4" w:space="0"/>
              <w:left w:val="nil"/>
              <w:bottom w:val="single" w:color="auto" w:sz="4" w:space="0"/>
              <w:right w:val="single" w:color="000000" w:sz="4" w:space="0"/>
            </w:tcBorders>
            <w:vAlign w:val="center"/>
          </w:tcPr>
          <w:p w14:paraId="0C20EBB3">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48.28 </w:t>
            </w:r>
          </w:p>
        </w:tc>
      </w:tr>
      <w:tr w14:paraId="25AF6314">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039F2EDE">
            <w:pPr>
              <w:widowControl/>
              <w:ind w:firstLine="945" w:firstLineChars="450"/>
              <w:jc w:val="left"/>
              <w:rPr>
                <w:rFonts w:hint="eastAsia" w:ascii="仿宋" w:hAnsi="仿宋" w:eastAsia="仿宋" w:cs="仿宋"/>
                <w:kern w:val="0"/>
                <w:szCs w:val="21"/>
              </w:rPr>
            </w:pPr>
            <w:r>
              <w:rPr>
                <w:rFonts w:hint="eastAsia" w:ascii="仿宋" w:hAnsi="仿宋" w:eastAsia="仿宋" w:cs="仿宋"/>
                <w:kern w:val="0"/>
                <w:szCs w:val="21"/>
              </w:rPr>
              <w:t>三公经费</w:t>
            </w:r>
          </w:p>
        </w:tc>
        <w:tc>
          <w:tcPr>
            <w:tcW w:w="2038" w:type="dxa"/>
            <w:tcBorders>
              <w:top w:val="single" w:color="auto" w:sz="4" w:space="0"/>
              <w:left w:val="nil"/>
              <w:bottom w:val="single" w:color="auto" w:sz="4" w:space="0"/>
              <w:right w:val="single" w:color="000000" w:sz="4" w:space="0"/>
            </w:tcBorders>
            <w:vAlign w:val="center"/>
          </w:tcPr>
          <w:p w14:paraId="4483354F">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23.82 </w:t>
            </w:r>
          </w:p>
        </w:tc>
        <w:tc>
          <w:tcPr>
            <w:tcW w:w="2240" w:type="dxa"/>
            <w:tcBorders>
              <w:top w:val="single" w:color="auto" w:sz="4" w:space="0"/>
              <w:left w:val="nil"/>
              <w:bottom w:val="single" w:color="auto" w:sz="4" w:space="0"/>
              <w:right w:val="single" w:color="000000" w:sz="4" w:space="0"/>
            </w:tcBorders>
            <w:vAlign w:val="center"/>
          </w:tcPr>
          <w:p w14:paraId="3AE4FA62">
            <w:pPr>
              <w:keepNext w:val="0"/>
              <w:keepLines w:val="0"/>
              <w:widowControl/>
              <w:suppressLineNumbers w:val="0"/>
              <w:jc w:val="right"/>
              <w:textAlignment w:val="center"/>
              <w:rPr>
                <w:rFonts w:hint="eastAsia" w:ascii="仿宋" w:hAnsi="仿宋" w:eastAsia="仿宋" w:cs="仿宋"/>
                <w:kern w:val="0"/>
                <w:szCs w:val="21"/>
                <w:lang w:val="en-US"/>
              </w:rPr>
            </w:pPr>
            <w:r>
              <w:rPr>
                <w:rFonts w:hint="eastAsia" w:ascii="宋体" w:hAnsi="宋体" w:eastAsia="宋体" w:cs="宋体"/>
                <w:i w:val="0"/>
                <w:iCs w:val="0"/>
                <w:color w:val="000000"/>
                <w:kern w:val="0"/>
                <w:sz w:val="22"/>
                <w:szCs w:val="22"/>
                <w:u w:val="none"/>
                <w:lang w:val="en-US" w:eastAsia="zh-CN" w:bidi="ar"/>
              </w:rPr>
              <w:t xml:space="preserve">54.00 </w:t>
            </w:r>
          </w:p>
        </w:tc>
        <w:tc>
          <w:tcPr>
            <w:tcW w:w="1832" w:type="dxa"/>
            <w:tcBorders>
              <w:top w:val="single" w:color="auto" w:sz="4" w:space="0"/>
              <w:left w:val="nil"/>
              <w:bottom w:val="single" w:color="auto" w:sz="4" w:space="0"/>
              <w:right w:val="single" w:color="000000" w:sz="4" w:space="0"/>
            </w:tcBorders>
            <w:vAlign w:val="center"/>
          </w:tcPr>
          <w:p w14:paraId="0CCA7F0F">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23.37 </w:t>
            </w:r>
          </w:p>
        </w:tc>
      </w:tr>
      <w:tr w14:paraId="44B9C7A7">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50BDFF4A">
            <w:pPr>
              <w:widowControl/>
              <w:jc w:val="left"/>
              <w:rPr>
                <w:rFonts w:hint="eastAsia" w:ascii="仿宋" w:hAnsi="仿宋" w:eastAsia="仿宋" w:cs="仿宋"/>
                <w:kern w:val="0"/>
                <w:szCs w:val="21"/>
              </w:rPr>
            </w:pPr>
            <w:r>
              <w:rPr>
                <w:rFonts w:hint="eastAsia" w:ascii="仿宋" w:hAnsi="仿宋" w:eastAsia="仿宋" w:cs="仿宋"/>
                <w:kern w:val="0"/>
                <w:szCs w:val="21"/>
              </w:rPr>
              <w:t xml:space="preserve">   1、公务用车购置和维护经费</w:t>
            </w:r>
          </w:p>
        </w:tc>
        <w:tc>
          <w:tcPr>
            <w:tcW w:w="2038" w:type="dxa"/>
            <w:tcBorders>
              <w:top w:val="single" w:color="auto" w:sz="4" w:space="0"/>
              <w:left w:val="nil"/>
              <w:bottom w:val="single" w:color="auto" w:sz="4" w:space="0"/>
              <w:right w:val="single" w:color="000000" w:sz="4" w:space="0"/>
            </w:tcBorders>
            <w:vAlign w:val="center"/>
          </w:tcPr>
          <w:p w14:paraId="08775609">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12.80 </w:t>
            </w:r>
          </w:p>
        </w:tc>
        <w:tc>
          <w:tcPr>
            <w:tcW w:w="2240" w:type="dxa"/>
            <w:tcBorders>
              <w:top w:val="single" w:color="auto" w:sz="4" w:space="0"/>
              <w:left w:val="nil"/>
              <w:bottom w:val="single" w:color="auto" w:sz="4" w:space="0"/>
              <w:right w:val="single" w:color="000000" w:sz="4" w:space="0"/>
            </w:tcBorders>
            <w:vAlign w:val="center"/>
          </w:tcPr>
          <w:p w14:paraId="4E766EF5">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13.00 </w:t>
            </w:r>
          </w:p>
        </w:tc>
        <w:tc>
          <w:tcPr>
            <w:tcW w:w="1832" w:type="dxa"/>
            <w:tcBorders>
              <w:top w:val="single" w:color="auto" w:sz="4" w:space="0"/>
              <w:left w:val="nil"/>
              <w:bottom w:val="single" w:color="auto" w:sz="4" w:space="0"/>
              <w:right w:val="single" w:color="000000" w:sz="4" w:space="0"/>
            </w:tcBorders>
            <w:vAlign w:val="center"/>
          </w:tcPr>
          <w:p w14:paraId="1C5482C6">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12.54 </w:t>
            </w:r>
          </w:p>
        </w:tc>
      </w:tr>
      <w:tr w14:paraId="1574D477">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3D21AE73">
            <w:pPr>
              <w:widowControl/>
              <w:ind w:firstLine="840" w:firstLineChars="400"/>
              <w:jc w:val="left"/>
              <w:rPr>
                <w:rFonts w:hint="eastAsia" w:ascii="仿宋" w:hAnsi="仿宋" w:eastAsia="仿宋" w:cs="仿宋"/>
                <w:kern w:val="0"/>
                <w:szCs w:val="21"/>
              </w:rPr>
            </w:pPr>
            <w:r>
              <w:rPr>
                <w:rFonts w:hint="eastAsia" w:ascii="仿宋" w:hAnsi="仿宋" w:eastAsia="仿宋" w:cs="仿宋"/>
                <w:kern w:val="0"/>
                <w:szCs w:val="21"/>
              </w:rPr>
              <w:t>其中：公交车购置</w:t>
            </w:r>
          </w:p>
        </w:tc>
        <w:tc>
          <w:tcPr>
            <w:tcW w:w="2038" w:type="dxa"/>
            <w:tcBorders>
              <w:top w:val="single" w:color="auto" w:sz="4" w:space="0"/>
              <w:left w:val="nil"/>
              <w:bottom w:val="single" w:color="auto" w:sz="4" w:space="0"/>
              <w:right w:val="single" w:color="000000" w:sz="4" w:space="0"/>
            </w:tcBorders>
            <w:vAlign w:val="center"/>
          </w:tcPr>
          <w:p w14:paraId="71569C68">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0.00 </w:t>
            </w:r>
          </w:p>
        </w:tc>
        <w:tc>
          <w:tcPr>
            <w:tcW w:w="2240" w:type="dxa"/>
            <w:tcBorders>
              <w:top w:val="single" w:color="auto" w:sz="4" w:space="0"/>
              <w:left w:val="nil"/>
              <w:bottom w:val="single" w:color="auto" w:sz="4" w:space="0"/>
              <w:right w:val="single" w:color="000000" w:sz="4" w:space="0"/>
            </w:tcBorders>
            <w:vAlign w:val="center"/>
          </w:tcPr>
          <w:p w14:paraId="47C4DF26">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0.00 </w:t>
            </w:r>
          </w:p>
        </w:tc>
        <w:tc>
          <w:tcPr>
            <w:tcW w:w="1832" w:type="dxa"/>
            <w:tcBorders>
              <w:top w:val="single" w:color="auto" w:sz="4" w:space="0"/>
              <w:left w:val="nil"/>
              <w:bottom w:val="single" w:color="auto" w:sz="4" w:space="0"/>
              <w:right w:val="single" w:color="000000" w:sz="4" w:space="0"/>
            </w:tcBorders>
            <w:vAlign w:val="center"/>
          </w:tcPr>
          <w:p w14:paraId="5B0DC592">
            <w:pPr>
              <w:keepNext w:val="0"/>
              <w:keepLines w:val="0"/>
              <w:widowControl/>
              <w:suppressLineNumbers w:val="0"/>
              <w:jc w:val="right"/>
              <w:textAlignment w:val="center"/>
              <w:rPr>
                <w:rFonts w:hint="eastAsia" w:ascii="仿宋" w:hAnsi="仿宋" w:eastAsia="仿宋" w:cs="仿宋"/>
                <w:kern w:val="0"/>
                <w:szCs w:val="21"/>
                <w:lang w:val="en-US" w:eastAsia="zh-CN"/>
              </w:rPr>
            </w:pPr>
            <w:r>
              <w:rPr>
                <w:rFonts w:hint="eastAsia" w:ascii="宋体" w:hAnsi="宋体" w:eastAsia="宋体" w:cs="宋体"/>
                <w:i w:val="0"/>
                <w:iCs w:val="0"/>
                <w:color w:val="000000"/>
                <w:kern w:val="0"/>
                <w:sz w:val="22"/>
                <w:szCs w:val="22"/>
                <w:u w:val="none"/>
                <w:lang w:val="en-US" w:eastAsia="zh-CN" w:bidi="ar"/>
              </w:rPr>
              <w:t xml:space="preserve">0.00 </w:t>
            </w:r>
          </w:p>
        </w:tc>
      </w:tr>
      <w:tr w14:paraId="04111700">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5C39B24A">
            <w:pPr>
              <w:widowControl/>
              <w:ind w:firstLine="840" w:firstLineChars="400"/>
              <w:jc w:val="left"/>
              <w:rPr>
                <w:rFonts w:hint="eastAsia" w:ascii="仿宋" w:hAnsi="仿宋" w:eastAsia="仿宋" w:cs="仿宋"/>
                <w:kern w:val="0"/>
                <w:szCs w:val="21"/>
              </w:rPr>
            </w:pPr>
            <w:r>
              <w:rPr>
                <w:rFonts w:hint="eastAsia" w:ascii="仿宋" w:hAnsi="仿宋" w:eastAsia="仿宋" w:cs="仿宋"/>
                <w:kern w:val="0"/>
                <w:szCs w:val="21"/>
              </w:rPr>
              <w:t>公交车运行维护</w:t>
            </w:r>
          </w:p>
        </w:tc>
        <w:tc>
          <w:tcPr>
            <w:tcW w:w="2038" w:type="dxa"/>
            <w:tcBorders>
              <w:top w:val="single" w:color="auto" w:sz="4" w:space="0"/>
              <w:left w:val="nil"/>
              <w:bottom w:val="single" w:color="auto" w:sz="4" w:space="0"/>
              <w:right w:val="single" w:color="000000" w:sz="4" w:space="0"/>
            </w:tcBorders>
            <w:vAlign w:val="center"/>
          </w:tcPr>
          <w:p w14:paraId="4B284EA8">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12.80 </w:t>
            </w:r>
          </w:p>
        </w:tc>
        <w:tc>
          <w:tcPr>
            <w:tcW w:w="2240" w:type="dxa"/>
            <w:tcBorders>
              <w:top w:val="single" w:color="auto" w:sz="4" w:space="0"/>
              <w:left w:val="nil"/>
              <w:bottom w:val="single" w:color="auto" w:sz="4" w:space="0"/>
              <w:right w:val="single" w:color="000000" w:sz="4" w:space="0"/>
            </w:tcBorders>
            <w:vAlign w:val="center"/>
          </w:tcPr>
          <w:p w14:paraId="224B26B6">
            <w:pPr>
              <w:keepNext w:val="0"/>
              <w:keepLines w:val="0"/>
              <w:widowControl/>
              <w:suppressLineNumbers w:val="0"/>
              <w:jc w:val="right"/>
              <w:textAlignment w:val="center"/>
              <w:rPr>
                <w:rFonts w:hint="eastAsia" w:ascii="仿宋" w:hAnsi="仿宋" w:eastAsia="仿宋" w:cs="仿宋"/>
                <w:kern w:val="0"/>
                <w:szCs w:val="21"/>
                <w:lang w:val="en-US"/>
              </w:rPr>
            </w:pPr>
            <w:r>
              <w:rPr>
                <w:rFonts w:hint="eastAsia" w:ascii="宋体" w:hAnsi="宋体" w:eastAsia="宋体" w:cs="宋体"/>
                <w:i w:val="0"/>
                <w:iCs w:val="0"/>
                <w:color w:val="000000"/>
                <w:kern w:val="0"/>
                <w:sz w:val="22"/>
                <w:szCs w:val="22"/>
                <w:u w:val="none"/>
                <w:lang w:val="en-US" w:eastAsia="zh-CN" w:bidi="ar"/>
              </w:rPr>
              <w:t xml:space="preserve">13.00 </w:t>
            </w:r>
          </w:p>
        </w:tc>
        <w:tc>
          <w:tcPr>
            <w:tcW w:w="1832" w:type="dxa"/>
            <w:tcBorders>
              <w:top w:val="single" w:color="auto" w:sz="4" w:space="0"/>
              <w:left w:val="nil"/>
              <w:bottom w:val="single" w:color="auto" w:sz="4" w:space="0"/>
              <w:right w:val="single" w:color="000000" w:sz="4" w:space="0"/>
            </w:tcBorders>
            <w:vAlign w:val="center"/>
          </w:tcPr>
          <w:p w14:paraId="387551F0">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12.54 </w:t>
            </w:r>
          </w:p>
        </w:tc>
      </w:tr>
      <w:tr w14:paraId="40F51EBF">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181F5BCD">
            <w:pPr>
              <w:widowControl/>
              <w:jc w:val="left"/>
              <w:rPr>
                <w:rFonts w:hint="eastAsia" w:ascii="仿宋" w:hAnsi="仿宋" w:eastAsia="仿宋" w:cs="仿宋"/>
                <w:kern w:val="0"/>
                <w:szCs w:val="21"/>
              </w:rPr>
            </w:pPr>
            <w:r>
              <w:rPr>
                <w:rFonts w:hint="eastAsia" w:ascii="仿宋" w:hAnsi="仿宋" w:eastAsia="仿宋" w:cs="仿宋"/>
                <w:kern w:val="0"/>
                <w:szCs w:val="21"/>
              </w:rPr>
              <w:t xml:space="preserve">   2、出国经费</w:t>
            </w:r>
          </w:p>
        </w:tc>
        <w:tc>
          <w:tcPr>
            <w:tcW w:w="2038" w:type="dxa"/>
            <w:tcBorders>
              <w:top w:val="single" w:color="auto" w:sz="4" w:space="0"/>
              <w:left w:val="nil"/>
              <w:bottom w:val="single" w:color="auto" w:sz="4" w:space="0"/>
              <w:right w:val="single" w:color="000000" w:sz="4" w:space="0"/>
            </w:tcBorders>
            <w:vAlign w:val="center"/>
          </w:tcPr>
          <w:p w14:paraId="2B826C9A">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0.00 </w:t>
            </w:r>
          </w:p>
        </w:tc>
        <w:tc>
          <w:tcPr>
            <w:tcW w:w="2240" w:type="dxa"/>
            <w:tcBorders>
              <w:top w:val="single" w:color="auto" w:sz="4" w:space="0"/>
              <w:left w:val="nil"/>
              <w:bottom w:val="single" w:color="auto" w:sz="4" w:space="0"/>
              <w:right w:val="single" w:color="000000" w:sz="4" w:space="0"/>
            </w:tcBorders>
            <w:vAlign w:val="center"/>
          </w:tcPr>
          <w:p w14:paraId="5CDCED4C">
            <w:pPr>
              <w:keepNext w:val="0"/>
              <w:keepLines w:val="0"/>
              <w:widowControl/>
              <w:suppressLineNumbers w:val="0"/>
              <w:jc w:val="right"/>
              <w:textAlignment w:val="center"/>
              <w:rPr>
                <w:rFonts w:hint="eastAsia" w:ascii="仿宋" w:hAnsi="仿宋" w:eastAsia="仿宋" w:cs="仿宋"/>
                <w:kern w:val="0"/>
                <w:szCs w:val="21"/>
                <w:lang w:val="en-US"/>
              </w:rPr>
            </w:pPr>
            <w:r>
              <w:rPr>
                <w:rFonts w:hint="eastAsia" w:ascii="宋体" w:hAnsi="宋体" w:eastAsia="宋体" w:cs="宋体"/>
                <w:i w:val="0"/>
                <w:iCs w:val="0"/>
                <w:color w:val="000000"/>
                <w:kern w:val="0"/>
                <w:sz w:val="22"/>
                <w:szCs w:val="22"/>
                <w:u w:val="none"/>
                <w:lang w:val="en-US" w:eastAsia="zh-CN" w:bidi="ar"/>
              </w:rPr>
              <w:t xml:space="preserve">30.00 </w:t>
            </w:r>
          </w:p>
        </w:tc>
        <w:tc>
          <w:tcPr>
            <w:tcW w:w="1832" w:type="dxa"/>
            <w:tcBorders>
              <w:top w:val="single" w:color="auto" w:sz="4" w:space="0"/>
              <w:left w:val="nil"/>
              <w:bottom w:val="single" w:color="auto" w:sz="4" w:space="0"/>
              <w:right w:val="single" w:color="000000" w:sz="4" w:space="0"/>
            </w:tcBorders>
            <w:vAlign w:val="center"/>
          </w:tcPr>
          <w:p w14:paraId="7C5CA9EE">
            <w:pPr>
              <w:keepNext w:val="0"/>
              <w:keepLines w:val="0"/>
              <w:widowControl/>
              <w:suppressLineNumbers w:val="0"/>
              <w:jc w:val="right"/>
              <w:textAlignment w:val="center"/>
              <w:rPr>
                <w:rFonts w:hint="eastAsia" w:ascii="仿宋" w:hAnsi="仿宋" w:eastAsia="仿宋" w:cs="仿宋"/>
                <w:kern w:val="0"/>
                <w:szCs w:val="21"/>
                <w:lang w:val="en-US" w:eastAsia="zh-CN"/>
              </w:rPr>
            </w:pPr>
            <w:r>
              <w:rPr>
                <w:rFonts w:hint="eastAsia" w:ascii="宋体" w:hAnsi="宋体" w:eastAsia="宋体" w:cs="宋体"/>
                <w:i w:val="0"/>
                <w:iCs w:val="0"/>
                <w:color w:val="000000"/>
                <w:kern w:val="0"/>
                <w:sz w:val="22"/>
                <w:szCs w:val="22"/>
                <w:u w:val="none"/>
                <w:lang w:val="en-US" w:eastAsia="zh-CN" w:bidi="ar"/>
              </w:rPr>
              <w:t xml:space="preserve">0.00 </w:t>
            </w:r>
          </w:p>
        </w:tc>
      </w:tr>
      <w:tr w14:paraId="528C81AF">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7E0F013B">
            <w:pPr>
              <w:widowControl/>
              <w:jc w:val="left"/>
              <w:rPr>
                <w:rFonts w:hint="eastAsia" w:ascii="仿宋" w:hAnsi="仿宋" w:eastAsia="仿宋" w:cs="仿宋"/>
                <w:kern w:val="0"/>
                <w:szCs w:val="21"/>
              </w:rPr>
            </w:pPr>
            <w:r>
              <w:rPr>
                <w:rFonts w:hint="eastAsia" w:ascii="仿宋" w:hAnsi="仿宋" w:eastAsia="仿宋" w:cs="仿宋"/>
                <w:kern w:val="0"/>
                <w:szCs w:val="21"/>
              </w:rPr>
              <w:t xml:space="preserve">   3、公务接待</w:t>
            </w:r>
          </w:p>
        </w:tc>
        <w:tc>
          <w:tcPr>
            <w:tcW w:w="2038" w:type="dxa"/>
            <w:tcBorders>
              <w:top w:val="single" w:color="auto" w:sz="4" w:space="0"/>
              <w:left w:val="nil"/>
              <w:bottom w:val="single" w:color="auto" w:sz="4" w:space="0"/>
              <w:right w:val="single" w:color="000000" w:sz="4" w:space="0"/>
            </w:tcBorders>
            <w:vAlign w:val="center"/>
          </w:tcPr>
          <w:p w14:paraId="642A3B44">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11.02 </w:t>
            </w:r>
          </w:p>
        </w:tc>
        <w:tc>
          <w:tcPr>
            <w:tcW w:w="2240" w:type="dxa"/>
            <w:tcBorders>
              <w:top w:val="single" w:color="auto" w:sz="4" w:space="0"/>
              <w:left w:val="nil"/>
              <w:bottom w:val="single" w:color="auto" w:sz="4" w:space="0"/>
              <w:right w:val="single" w:color="000000" w:sz="4" w:space="0"/>
            </w:tcBorders>
            <w:vAlign w:val="center"/>
          </w:tcPr>
          <w:p w14:paraId="0D7AD09C">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11.00 </w:t>
            </w:r>
          </w:p>
        </w:tc>
        <w:tc>
          <w:tcPr>
            <w:tcW w:w="1832" w:type="dxa"/>
            <w:tcBorders>
              <w:top w:val="single" w:color="auto" w:sz="4" w:space="0"/>
              <w:left w:val="nil"/>
              <w:bottom w:val="single" w:color="auto" w:sz="4" w:space="0"/>
              <w:right w:val="single" w:color="000000" w:sz="4" w:space="0"/>
            </w:tcBorders>
            <w:vAlign w:val="center"/>
          </w:tcPr>
          <w:p w14:paraId="0287CEB1">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10.83 </w:t>
            </w:r>
          </w:p>
        </w:tc>
      </w:tr>
      <w:tr w14:paraId="52BB186B">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7C66F5D0">
            <w:pPr>
              <w:widowControl/>
              <w:jc w:val="left"/>
              <w:rPr>
                <w:rFonts w:hint="eastAsia" w:ascii="仿宋" w:hAnsi="仿宋" w:eastAsia="仿宋" w:cs="仿宋"/>
                <w:kern w:val="0"/>
                <w:szCs w:val="21"/>
              </w:rPr>
            </w:pPr>
            <w:r>
              <w:rPr>
                <w:rFonts w:hint="eastAsia" w:ascii="仿宋" w:hAnsi="仿宋" w:eastAsia="仿宋" w:cs="仿宋"/>
                <w:kern w:val="0"/>
                <w:szCs w:val="21"/>
              </w:rPr>
              <w:t>二、部门项目支出</w:t>
            </w:r>
          </w:p>
        </w:tc>
        <w:tc>
          <w:tcPr>
            <w:tcW w:w="2038" w:type="dxa"/>
            <w:tcBorders>
              <w:top w:val="single" w:color="auto" w:sz="4" w:space="0"/>
              <w:left w:val="nil"/>
              <w:bottom w:val="single" w:color="auto" w:sz="4" w:space="0"/>
              <w:right w:val="single" w:color="000000" w:sz="4" w:space="0"/>
            </w:tcBorders>
            <w:vAlign w:val="center"/>
          </w:tcPr>
          <w:p w14:paraId="0A67F3CA">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2,700.00 </w:t>
            </w:r>
          </w:p>
        </w:tc>
        <w:tc>
          <w:tcPr>
            <w:tcW w:w="2240" w:type="dxa"/>
            <w:tcBorders>
              <w:top w:val="single" w:color="auto" w:sz="4" w:space="0"/>
              <w:left w:val="nil"/>
              <w:bottom w:val="single" w:color="auto" w:sz="4" w:space="0"/>
              <w:right w:val="single" w:color="000000" w:sz="4" w:space="0"/>
            </w:tcBorders>
            <w:vAlign w:val="center"/>
          </w:tcPr>
          <w:p w14:paraId="6FE6CEB4">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2,700.00 </w:t>
            </w:r>
          </w:p>
        </w:tc>
        <w:tc>
          <w:tcPr>
            <w:tcW w:w="1832" w:type="dxa"/>
            <w:tcBorders>
              <w:top w:val="single" w:color="auto" w:sz="4" w:space="0"/>
              <w:left w:val="nil"/>
              <w:bottom w:val="single" w:color="auto" w:sz="4" w:space="0"/>
              <w:right w:val="single" w:color="000000" w:sz="4" w:space="0"/>
            </w:tcBorders>
            <w:vAlign w:val="center"/>
          </w:tcPr>
          <w:p w14:paraId="68995F7D">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2,700.00 </w:t>
            </w:r>
          </w:p>
        </w:tc>
      </w:tr>
      <w:tr w14:paraId="1149F18A">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2179193D">
            <w:pPr>
              <w:widowControl/>
              <w:ind w:firstLine="210" w:firstLineChars="100"/>
              <w:jc w:val="left"/>
              <w:rPr>
                <w:rFonts w:hint="eastAsia" w:ascii="仿宋" w:hAnsi="仿宋" w:eastAsia="仿宋" w:cs="仿宋"/>
                <w:kern w:val="0"/>
                <w:szCs w:val="21"/>
                <w:lang w:eastAsia="zh-CN"/>
              </w:rPr>
            </w:pPr>
            <w:r>
              <w:rPr>
                <w:rFonts w:hint="eastAsia" w:ascii="仿宋" w:hAnsi="仿宋" w:eastAsia="仿宋" w:cs="仿宋"/>
                <w:kern w:val="0"/>
                <w:szCs w:val="21"/>
              </w:rPr>
              <w:t>1、</w:t>
            </w:r>
            <w:r>
              <w:rPr>
                <w:rFonts w:hint="eastAsia" w:ascii="仿宋" w:hAnsi="仿宋" w:eastAsia="仿宋" w:cs="仿宋"/>
                <w:kern w:val="0"/>
                <w:szCs w:val="21"/>
                <w:lang w:eastAsia="zh-CN"/>
              </w:rPr>
              <w:t>生均经费</w:t>
            </w:r>
          </w:p>
        </w:tc>
        <w:tc>
          <w:tcPr>
            <w:tcW w:w="2038" w:type="dxa"/>
            <w:tcBorders>
              <w:top w:val="single" w:color="auto" w:sz="4" w:space="0"/>
              <w:left w:val="nil"/>
              <w:bottom w:val="single" w:color="auto" w:sz="4" w:space="0"/>
              <w:right w:val="single" w:color="000000" w:sz="4" w:space="0"/>
            </w:tcBorders>
            <w:vAlign w:val="center"/>
          </w:tcPr>
          <w:p w14:paraId="31909893">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1,500.00 </w:t>
            </w:r>
          </w:p>
        </w:tc>
        <w:tc>
          <w:tcPr>
            <w:tcW w:w="2240" w:type="dxa"/>
            <w:tcBorders>
              <w:top w:val="single" w:color="auto" w:sz="4" w:space="0"/>
              <w:left w:val="nil"/>
              <w:bottom w:val="single" w:color="auto" w:sz="4" w:space="0"/>
              <w:right w:val="single" w:color="000000" w:sz="4" w:space="0"/>
            </w:tcBorders>
            <w:vAlign w:val="center"/>
          </w:tcPr>
          <w:p w14:paraId="207F667B">
            <w:pPr>
              <w:keepNext w:val="0"/>
              <w:keepLines w:val="0"/>
              <w:widowControl/>
              <w:suppressLineNumbers w:val="0"/>
              <w:jc w:val="right"/>
              <w:textAlignment w:val="center"/>
              <w:rPr>
                <w:rFonts w:hint="eastAsia" w:ascii="仿宋" w:hAnsi="仿宋" w:eastAsia="仿宋" w:cs="仿宋"/>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1,500.00 </w:t>
            </w:r>
          </w:p>
        </w:tc>
        <w:tc>
          <w:tcPr>
            <w:tcW w:w="1832" w:type="dxa"/>
            <w:tcBorders>
              <w:top w:val="single" w:color="auto" w:sz="4" w:space="0"/>
              <w:left w:val="nil"/>
              <w:bottom w:val="single" w:color="auto" w:sz="4" w:space="0"/>
              <w:right w:val="single" w:color="000000" w:sz="4" w:space="0"/>
            </w:tcBorders>
            <w:vAlign w:val="center"/>
          </w:tcPr>
          <w:p w14:paraId="16263156">
            <w:pPr>
              <w:keepNext w:val="0"/>
              <w:keepLines w:val="0"/>
              <w:widowControl/>
              <w:suppressLineNumbers w:val="0"/>
              <w:jc w:val="right"/>
              <w:textAlignment w:val="center"/>
              <w:rPr>
                <w:rFonts w:hint="eastAsia" w:ascii="仿宋" w:hAnsi="仿宋" w:eastAsia="仿宋" w:cs="仿宋"/>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1,500.00 </w:t>
            </w:r>
          </w:p>
        </w:tc>
      </w:tr>
      <w:tr w14:paraId="4842E688">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0CC29E43">
            <w:pPr>
              <w:widowControl/>
              <w:ind w:firstLine="210" w:firstLineChars="100"/>
              <w:jc w:val="left"/>
              <w:rPr>
                <w:rFonts w:hint="eastAsia" w:ascii="仿宋" w:hAnsi="仿宋" w:eastAsia="仿宋" w:cs="仿宋"/>
                <w:kern w:val="0"/>
                <w:szCs w:val="21"/>
                <w:lang w:eastAsia="zh-CN"/>
              </w:rPr>
            </w:pPr>
            <w:r>
              <w:rPr>
                <w:rFonts w:hint="eastAsia" w:ascii="仿宋" w:hAnsi="仿宋" w:eastAsia="仿宋" w:cs="仿宋"/>
                <w:kern w:val="0"/>
                <w:szCs w:val="21"/>
              </w:rPr>
              <w:t>2、</w:t>
            </w:r>
            <w:r>
              <w:rPr>
                <w:rFonts w:hint="eastAsia" w:ascii="仿宋" w:hAnsi="仿宋" w:eastAsia="仿宋" w:cs="仿宋"/>
                <w:kern w:val="0"/>
                <w:szCs w:val="21"/>
                <w:lang w:eastAsia="zh-CN"/>
              </w:rPr>
              <w:t>贷款及政府债券利息支出</w:t>
            </w:r>
          </w:p>
        </w:tc>
        <w:tc>
          <w:tcPr>
            <w:tcW w:w="2038" w:type="dxa"/>
            <w:tcBorders>
              <w:top w:val="single" w:color="auto" w:sz="4" w:space="0"/>
              <w:left w:val="nil"/>
              <w:bottom w:val="single" w:color="auto" w:sz="4" w:space="0"/>
              <w:right w:val="single" w:color="000000" w:sz="4" w:space="0"/>
            </w:tcBorders>
            <w:vAlign w:val="center"/>
          </w:tcPr>
          <w:p w14:paraId="06BAB5F4">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1,200.00 </w:t>
            </w:r>
          </w:p>
        </w:tc>
        <w:tc>
          <w:tcPr>
            <w:tcW w:w="2240" w:type="dxa"/>
            <w:tcBorders>
              <w:top w:val="single" w:color="auto" w:sz="4" w:space="0"/>
              <w:left w:val="nil"/>
              <w:bottom w:val="single" w:color="auto" w:sz="4" w:space="0"/>
              <w:right w:val="single" w:color="000000" w:sz="4" w:space="0"/>
            </w:tcBorders>
            <w:vAlign w:val="center"/>
          </w:tcPr>
          <w:p w14:paraId="51C601BA">
            <w:pPr>
              <w:keepNext w:val="0"/>
              <w:keepLines w:val="0"/>
              <w:widowControl/>
              <w:suppressLineNumbers w:val="0"/>
              <w:jc w:val="right"/>
              <w:textAlignment w:val="center"/>
              <w:rPr>
                <w:rFonts w:hint="eastAsia" w:ascii="仿宋" w:hAnsi="仿宋" w:eastAsia="仿宋" w:cs="仿宋"/>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1,200.00 </w:t>
            </w:r>
          </w:p>
        </w:tc>
        <w:tc>
          <w:tcPr>
            <w:tcW w:w="1832" w:type="dxa"/>
            <w:tcBorders>
              <w:top w:val="single" w:color="auto" w:sz="4" w:space="0"/>
              <w:left w:val="nil"/>
              <w:bottom w:val="single" w:color="auto" w:sz="4" w:space="0"/>
              <w:right w:val="single" w:color="000000" w:sz="4" w:space="0"/>
            </w:tcBorders>
            <w:vAlign w:val="center"/>
          </w:tcPr>
          <w:p w14:paraId="6B66DBDD">
            <w:pPr>
              <w:keepNext w:val="0"/>
              <w:keepLines w:val="0"/>
              <w:widowControl/>
              <w:suppressLineNumbers w:val="0"/>
              <w:jc w:val="right"/>
              <w:textAlignment w:val="center"/>
              <w:rPr>
                <w:rFonts w:hint="eastAsia" w:ascii="仿宋" w:hAnsi="仿宋" w:eastAsia="仿宋" w:cs="仿宋"/>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1,200.00 </w:t>
            </w:r>
          </w:p>
        </w:tc>
      </w:tr>
      <w:tr w14:paraId="6F3FA006">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320FEE5F">
            <w:pPr>
              <w:widowControl/>
              <w:jc w:val="left"/>
              <w:rPr>
                <w:rFonts w:hint="eastAsia" w:ascii="仿宋" w:hAnsi="仿宋" w:eastAsia="仿宋" w:cs="仿宋"/>
                <w:kern w:val="0"/>
                <w:szCs w:val="21"/>
              </w:rPr>
            </w:pPr>
          </w:p>
        </w:tc>
        <w:tc>
          <w:tcPr>
            <w:tcW w:w="2038" w:type="dxa"/>
            <w:tcBorders>
              <w:top w:val="single" w:color="auto" w:sz="4" w:space="0"/>
              <w:left w:val="nil"/>
              <w:bottom w:val="single" w:color="auto" w:sz="4" w:space="0"/>
              <w:right w:val="single" w:color="000000" w:sz="4" w:space="0"/>
            </w:tcBorders>
            <w:vAlign w:val="center"/>
          </w:tcPr>
          <w:p w14:paraId="6D6CD7CA">
            <w:pPr>
              <w:keepNext w:val="0"/>
              <w:keepLines w:val="0"/>
              <w:widowControl/>
              <w:suppressLineNumbers w:val="0"/>
              <w:jc w:val="right"/>
              <w:textAlignment w:val="center"/>
              <w:rPr>
                <w:rFonts w:hint="eastAsia" w:ascii="仿宋" w:hAnsi="仿宋" w:eastAsia="仿宋" w:cs="仿宋"/>
                <w:kern w:val="0"/>
                <w:szCs w:val="21"/>
              </w:rPr>
            </w:pPr>
          </w:p>
        </w:tc>
        <w:tc>
          <w:tcPr>
            <w:tcW w:w="2240" w:type="dxa"/>
            <w:tcBorders>
              <w:top w:val="single" w:color="auto" w:sz="4" w:space="0"/>
              <w:left w:val="nil"/>
              <w:bottom w:val="single" w:color="auto" w:sz="4" w:space="0"/>
              <w:right w:val="single" w:color="000000" w:sz="4" w:space="0"/>
            </w:tcBorders>
            <w:vAlign w:val="center"/>
          </w:tcPr>
          <w:p w14:paraId="54419D98">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p>
        </w:tc>
        <w:tc>
          <w:tcPr>
            <w:tcW w:w="1832" w:type="dxa"/>
            <w:tcBorders>
              <w:top w:val="single" w:color="auto" w:sz="4" w:space="0"/>
              <w:left w:val="nil"/>
              <w:bottom w:val="single" w:color="auto" w:sz="4" w:space="0"/>
              <w:right w:val="single" w:color="000000" w:sz="4" w:space="0"/>
            </w:tcBorders>
            <w:vAlign w:val="center"/>
          </w:tcPr>
          <w:p w14:paraId="35C7CC4A">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p>
        </w:tc>
      </w:tr>
      <w:tr w14:paraId="3985CEE4">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27CAB3EF">
            <w:pPr>
              <w:widowControl/>
              <w:jc w:val="left"/>
              <w:rPr>
                <w:rFonts w:hint="eastAsia" w:ascii="仿宋" w:hAnsi="仿宋" w:eastAsia="仿宋" w:cs="仿宋"/>
                <w:kern w:val="0"/>
                <w:szCs w:val="21"/>
              </w:rPr>
            </w:pPr>
            <w:r>
              <w:rPr>
                <w:rFonts w:hint="eastAsia" w:ascii="仿宋" w:hAnsi="仿宋" w:eastAsia="仿宋" w:cs="仿宋"/>
                <w:kern w:val="0"/>
                <w:szCs w:val="21"/>
              </w:rPr>
              <w:t>政府采购金额</w:t>
            </w:r>
          </w:p>
        </w:tc>
        <w:tc>
          <w:tcPr>
            <w:tcW w:w="2038" w:type="dxa"/>
            <w:tcBorders>
              <w:top w:val="single" w:color="auto" w:sz="4" w:space="0"/>
              <w:left w:val="nil"/>
              <w:bottom w:val="single" w:color="auto" w:sz="4" w:space="0"/>
              <w:right w:val="single" w:color="000000" w:sz="4" w:space="0"/>
            </w:tcBorders>
            <w:vAlign w:val="center"/>
          </w:tcPr>
          <w:p w14:paraId="6E22BD79">
            <w:pPr>
              <w:keepNext w:val="0"/>
              <w:keepLines w:val="0"/>
              <w:widowControl/>
              <w:suppressLineNumbers w:val="0"/>
              <w:jc w:val="right"/>
              <w:textAlignment w:val="center"/>
              <w:rPr>
                <w:rFonts w:hint="eastAsia" w:ascii="仿宋" w:hAnsi="仿宋" w:eastAsia="仿宋" w:cs="仿宋"/>
                <w:kern w:val="0"/>
                <w:szCs w:val="21"/>
              </w:rPr>
            </w:pPr>
            <w:r>
              <w:rPr>
                <w:rFonts w:hint="eastAsia" w:ascii="宋体" w:hAnsi="宋体" w:eastAsia="宋体" w:cs="宋体"/>
                <w:i w:val="0"/>
                <w:iCs w:val="0"/>
                <w:color w:val="000000"/>
                <w:kern w:val="0"/>
                <w:sz w:val="22"/>
                <w:szCs w:val="22"/>
                <w:u w:val="none"/>
                <w:lang w:val="en-US" w:eastAsia="zh-CN" w:bidi="ar"/>
              </w:rPr>
              <w:t xml:space="preserve">2,215.83 </w:t>
            </w:r>
          </w:p>
        </w:tc>
        <w:tc>
          <w:tcPr>
            <w:tcW w:w="2240" w:type="dxa"/>
            <w:tcBorders>
              <w:top w:val="single" w:color="auto" w:sz="4" w:space="0"/>
              <w:left w:val="nil"/>
              <w:bottom w:val="single" w:color="auto" w:sz="4" w:space="0"/>
              <w:right w:val="single" w:color="000000" w:sz="4" w:space="0"/>
            </w:tcBorders>
            <w:vAlign w:val="center"/>
          </w:tcPr>
          <w:p w14:paraId="679D1F71">
            <w:pPr>
              <w:keepNext w:val="0"/>
              <w:keepLines w:val="0"/>
              <w:widowControl/>
              <w:suppressLineNumbers w:val="0"/>
              <w:jc w:val="right"/>
              <w:textAlignment w:val="center"/>
              <w:rPr>
                <w:rFonts w:hint="eastAsia" w:ascii="仿宋" w:hAnsi="仿宋" w:eastAsia="仿宋" w:cs="仿宋"/>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2,421.48 </w:t>
            </w:r>
          </w:p>
        </w:tc>
        <w:tc>
          <w:tcPr>
            <w:tcW w:w="1832" w:type="dxa"/>
            <w:tcBorders>
              <w:top w:val="single" w:color="auto" w:sz="4" w:space="0"/>
              <w:left w:val="nil"/>
              <w:bottom w:val="single" w:color="auto" w:sz="4" w:space="0"/>
              <w:right w:val="single" w:color="000000" w:sz="4" w:space="0"/>
            </w:tcBorders>
            <w:vAlign w:val="center"/>
          </w:tcPr>
          <w:p w14:paraId="1EC26723">
            <w:pPr>
              <w:keepNext w:val="0"/>
              <w:keepLines w:val="0"/>
              <w:widowControl/>
              <w:suppressLineNumbers w:val="0"/>
              <w:jc w:val="right"/>
              <w:textAlignment w:val="center"/>
              <w:rPr>
                <w:rFonts w:hint="eastAsia" w:ascii="仿宋" w:hAnsi="仿宋" w:eastAsia="仿宋" w:cs="仿宋"/>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2,405.00 </w:t>
            </w:r>
          </w:p>
        </w:tc>
      </w:tr>
      <w:tr w14:paraId="77230E98">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14:paraId="2211BBAE">
            <w:pPr>
              <w:widowControl/>
              <w:jc w:val="left"/>
              <w:rPr>
                <w:rFonts w:hint="eastAsia" w:ascii="仿宋" w:hAnsi="仿宋" w:eastAsia="仿宋" w:cs="仿宋"/>
                <w:kern w:val="0"/>
                <w:szCs w:val="21"/>
              </w:rPr>
            </w:pPr>
            <w:r>
              <w:rPr>
                <w:rFonts w:hint="eastAsia" w:ascii="仿宋" w:hAnsi="仿宋" w:eastAsia="仿宋" w:cs="仿宋"/>
                <w:kern w:val="0"/>
                <w:szCs w:val="21"/>
              </w:rPr>
              <w:t>厉行节约保障措施等相关情况</w:t>
            </w:r>
          </w:p>
        </w:tc>
        <w:tc>
          <w:tcPr>
            <w:tcW w:w="6110" w:type="dxa"/>
            <w:gridSpan w:val="3"/>
            <w:tcBorders>
              <w:top w:val="single" w:color="auto" w:sz="4" w:space="0"/>
              <w:left w:val="nil"/>
              <w:bottom w:val="single" w:color="auto" w:sz="4" w:space="0"/>
              <w:right w:val="single" w:color="000000" w:sz="4" w:space="0"/>
            </w:tcBorders>
            <w:vAlign w:val="center"/>
          </w:tcPr>
          <w:p w14:paraId="307AB22A">
            <w:pPr>
              <w:widowControl/>
              <w:jc w:val="left"/>
              <w:rPr>
                <w:rFonts w:hint="eastAsia" w:ascii="仿宋" w:hAnsi="仿宋" w:eastAsia="仿宋" w:cs="仿宋"/>
                <w:kern w:val="0"/>
                <w:szCs w:val="21"/>
              </w:rPr>
            </w:pPr>
            <w:r>
              <w:rPr>
                <w:rFonts w:hint="eastAsia" w:ascii="仿宋" w:hAnsi="仿宋" w:eastAsia="仿宋" w:cs="仿宋"/>
                <w:kern w:val="0"/>
                <w:szCs w:val="21"/>
              </w:rPr>
              <w:t>量入为出、开源节流</w:t>
            </w:r>
            <w:r>
              <w:rPr>
                <w:rFonts w:hint="eastAsia" w:ascii="仿宋" w:hAnsi="仿宋" w:eastAsia="仿宋" w:cs="仿宋"/>
                <w:kern w:val="0"/>
                <w:szCs w:val="21"/>
                <w:lang w:eastAsia="zh-CN"/>
              </w:rPr>
              <w:t>。</w:t>
            </w:r>
            <w:r>
              <w:rPr>
                <w:rFonts w:hint="eastAsia" w:ascii="仿宋" w:hAnsi="仿宋" w:eastAsia="仿宋" w:cs="仿宋"/>
                <w:kern w:val="0"/>
                <w:szCs w:val="21"/>
              </w:rPr>
              <w:t>客观预算、收支平衡。</w:t>
            </w:r>
          </w:p>
          <w:p w14:paraId="43F0345B">
            <w:pPr>
              <w:widowControl/>
              <w:jc w:val="left"/>
              <w:rPr>
                <w:rFonts w:hint="eastAsia" w:ascii="仿宋" w:hAnsi="仿宋" w:eastAsia="仿宋" w:cs="仿宋"/>
                <w:kern w:val="0"/>
                <w:szCs w:val="21"/>
              </w:rPr>
            </w:pPr>
            <w:r>
              <w:rPr>
                <w:rFonts w:hint="eastAsia" w:ascii="仿宋" w:hAnsi="仿宋" w:eastAsia="仿宋" w:cs="仿宋"/>
                <w:kern w:val="0"/>
                <w:szCs w:val="21"/>
              </w:rPr>
              <w:t>统一预算，统筹安排。战略导向，突出重点。</w:t>
            </w:r>
          </w:p>
          <w:p w14:paraId="2F4C0271">
            <w:pPr>
              <w:widowControl/>
              <w:jc w:val="left"/>
              <w:rPr>
                <w:rFonts w:hint="eastAsia" w:ascii="仿宋" w:hAnsi="仿宋" w:eastAsia="仿宋" w:cs="仿宋"/>
                <w:kern w:val="0"/>
                <w:szCs w:val="21"/>
              </w:rPr>
            </w:pPr>
            <w:r>
              <w:rPr>
                <w:rFonts w:hint="eastAsia" w:ascii="仿宋" w:hAnsi="仿宋" w:eastAsia="仿宋" w:cs="仿宋"/>
                <w:kern w:val="0"/>
                <w:szCs w:val="21"/>
              </w:rPr>
              <w:t>勤俭节约，注重绩效。</w:t>
            </w:r>
            <w:r>
              <w:rPr>
                <w:rFonts w:hint="eastAsia" w:ascii="仿宋" w:hAnsi="仿宋" w:eastAsia="仿宋" w:cs="仿宋"/>
                <w:kern w:val="0"/>
                <w:szCs w:val="21"/>
                <w:lang w:eastAsia="zh-CN"/>
              </w:rPr>
              <w:t>严格</w:t>
            </w:r>
            <w:r>
              <w:rPr>
                <w:rFonts w:hint="eastAsia" w:ascii="仿宋" w:hAnsi="仿宋" w:eastAsia="仿宋" w:cs="仿宋"/>
                <w:kern w:val="0"/>
                <w:szCs w:val="21"/>
              </w:rPr>
              <w:t>审批</w:t>
            </w:r>
            <w:r>
              <w:rPr>
                <w:rFonts w:hint="eastAsia" w:ascii="仿宋" w:hAnsi="仿宋" w:eastAsia="仿宋" w:cs="仿宋"/>
                <w:kern w:val="0"/>
                <w:szCs w:val="21"/>
                <w:lang w:eastAsia="zh-CN"/>
              </w:rPr>
              <w:t>，</w:t>
            </w:r>
            <w:r>
              <w:rPr>
                <w:rFonts w:hint="eastAsia" w:ascii="仿宋" w:hAnsi="仿宋" w:eastAsia="仿宋" w:cs="仿宋"/>
                <w:kern w:val="0"/>
                <w:szCs w:val="21"/>
              </w:rPr>
              <w:t>强化管理</w:t>
            </w:r>
            <w:r>
              <w:rPr>
                <w:rFonts w:hint="eastAsia" w:ascii="仿宋" w:hAnsi="仿宋" w:eastAsia="仿宋" w:cs="仿宋"/>
                <w:kern w:val="0"/>
                <w:szCs w:val="21"/>
                <w:lang w:eastAsia="zh-CN"/>
              </w:rPr>
              <w:t>。</w:t>
            </w:r>
          </w:p>
        </w:tc>
      </w:tr>
    </w:tbl>
    <w:p w14:paraId="4BE87C15">
      <w:r>
        <w:rPr>
          <w:rFonts w:hint="eastAsia" w:ascii="仿宋" w:hAnsi="仿宋" w:eastAsia="仿宋" w:cs="仿宋"/>
          <w:sz w:val="32"/>
          <w:szCs w:val="32"/>
        </w:rPr>
        <w:t xml:space="preserve">        </w:t>
      </w:r>
      <w:r>
        <w:rPr>
          <w:rFonts w:ascii="仿宋" w:hAnsi="仿宋" w:eastAsia="仿宋" w:cs="仿宋"/>
          <w:sz w:val="32"/>
          <w:szCs w:val="32"/>
        </w:rPr>
        <w:t xml:space="preserve">                </w:t>
      </w:r>
      <w:r>
        <w:rPr>
          <w:rFonts w:hint="eastAsia" w:ascii="仿宋" w:hAnsi="仿宋" w:eastAsia="仿宋" w:cs="仿宋"/>
          <w:sz w:val="32"/>
          <w:szCs w:val="32"/>
        </w:rPr>
        <w:t xml:space="preserve">   </w:t>
      </w:r>
    </w:p>
    <w:p w14:paraId="53C509C6">
      <w:pPr>
        <w:sectPr>
          <w:footerReference r:id="rId5" w:type="default"/>
          <w:pgSz w:w="11906" w:h="16838"/>
          <w:pgMar w:top="1440" w:right="1587" w:bottom="1440" w:left="1587" w:header="851" w:footer="992" w:gutter="0"/>
          <w:pgBorders>
            <w:top w:val="none" w:sz="0" w:space="0"/>
            <w:left w:val="none" w:sz="0" w:space="0"/>
            <w:bottom w:val="none" w:sz="0" w:space="0"/>
            <w:right w:val="none" w:sz="0" w:space="0"/>
          </w:pgBorders>
          <w:pgNumType w:fmt="numberInDash" w:start="1"/>
          <w:cols w:space="0" w:num="1"/>
          <w:rtlGutter w:val="0"/>
          <w:docGrid w:type="lines" w:linePitch="312" w:charSpace="0"/>
        </w:sectPr>
      </w:pPr>
    </w:p>
    <w:p w14:paraId="299C439A">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附件</w:t>
      </w:r>
      <w:r>
        <w:rPr>
          <w:rFonts w:hint="default"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rPr>
        <w:t>：</w:t>
      </w:r>
    </w:p>
    <w:p w14:paraId="5EA7370F">
      <w:pPr>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lang w:eastAsia="zh-CN"/>
        </w:rPr>
        <w:t>湖南财经工业职业技术学院</w:t>
      </w:r>
      <w:r>
        <w:rPr>
          <w:rFonts w:hint="eastAsia" w:ascii="方正小标宋简体" w:hAnsi="方正小标宋简体" w:eastAsia="方正小标宋简体" w:cs="方正小标宋简体"/>
          <w:b w:val="0"/>
          <w:bCs w:val="0"/>
          <w:sz w:val="36"/>
          <w:szCs w:val="36"/>
        </w:rPr>
        <w:t>202</w:t>
      </w:r>
      <w:r>
        <w:rPr>
          <w:rFonts w:hint="eastAsia" w:ascii="方正小标宋简体" w:hAnsi="方正小标宋简体" w:eastAsia="方正小标宋简体" w:cs="方正小标宋简体"/>
          <w:b w:val="0"/>
          <w:bCs w:val="0"/>
          <w:sz w:val="36"/>
          <w:szCs w:val="36"/>
          <w:lang w:val="en-US" w:eastAsia="zh-CN"/>
        </w:rPr>
        <w:t>2</w:t>
      </w:r>
      <w:r>
        <w:rPr>
          <w:rFonts w:hint="eastAsia" w:ascii="方正小标宋简体" w:hAnsi="方正小标宋简体" w:eastAsia="方正小标宋简体" w:cs="方正小标宋简体"/>
          <w:b w:val="0"/>
          <w:bCs w:val="0"/>
          <w:sz w:val="36"/>
          <w:szCs w:val="36"/>
        </w:rPr>
        <w:t>年部门整体支出绩效评价指标评分表</w:t>
      </w:r>
    </w:p>
    <w:tbl>
      <w:tblPr>
        <w:tblStyle w:val="18"/>
        <w:tblW w:w="1428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936"/>
        <w:gridCol w:w="1140"/>
        <w:gridCol w:w="614"/>
        <w:gridCol w:w="4308"/>
        <w:gridCol w:w="3371"/>
        <w:gridCol w:w="2052"/>
        <w:gridCol w:w="840"/>
      </w:tblGrid>
      <w:tr w14:paraId="4C974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blHeader/>
        </w:trPr>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085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kern w:val="0"/>
                <w:sz w:val="16"/>
                <w:szCs w:val="16"/>
                <w:u w:val="none"/>
                <w:lang w:val="en-US" w:eastAsia="zh-CN" w:bidi="ar"/>
              </w:rPr>
            </w:pPr>
            <w:r>
              <w:rPr>
                <w:rFonts w:hint="default" w:ascii="Times New Roman" w:hAnsi="Times New Roman" w:eastAsia="仿宋_GB2312" w:cs="Times New Roman"/>
                <w:b/>
                <w:bCs/>
                <w:i w:val="0"/>
                <w:iCs w:val="0"/>
                <w:color w:val="000000"/>
                <w:kern w:val="0"/>
                <w:sz w:val="16"/>
                <w:szCs w:val="16"/>
                <w:u w:val="none"/>
                <w:lang w:val="en-US" w:eastAsia="zh-CN" w:bidi="ar"/>
              </w:rPr>
              <w:t>一级</w:t>
            </w:r>
          </w:p>
          <w:p w14:paraId="2D3A7FB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16"/>
                <w:szCs w:val="16"/>
                <w:u w:val="none"/>
              </w:rPr>
            </w:pPr>
            <w:r>
              <w:rPr>
                <w:rFonts w:hint="default" w:ascii="Times New Roman" w:hAnsi="Times New Roman" w:eastAsia="仿宋_GB2312" w:cs="Times New Roman"/>
                <w:b/>
                <w:bCs/>
                <w:i w:val="0"/>
                <w:iCs w:val="0"/>
                <w:color w:val="000000"/>
                <w:kern w:val="0"/>
                <w:sz w:val="16"/>
                <w:szCs w:val="16"/>
                <w:u w:val="none"/>
                <w:lang w:val="en-US" w:eastAsia="zh-CN" w:bidi="ar"/>
              </w:rPr>
              <w:t>指标</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52BC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kern w:val="0"/>
                <w:sz w:val="16"/>
                <w:szCs w:val="16"/>
                <w:u w:val="none"/>
                <w:lang w:val="en-US" w:eastAsia="zh-CN" w:bidi="ar"/>
              </w:rPr>
            </w:pPr>
            <w:r>
              <w:rPr>
                <w:rFonts w:hint="default" w:ascii="Times New Roman" w:hAnsi="Times New Roman" w:eastAsia="仿宋_GB2312" w:cs="Times New Roman"/>
                <w:b/>
                <w:bCs/>
                <w:i w:val="0"/>
                <w:iCs w:val="0"/>
                <w:color w:val="000000"/>
                <w:kern w:val="0"/>
                <w:sz w:val="16"/>
                <w:szCs w:val="16"/>
                <w:u w:val="none"/>
                <w:lang w:val="en-US" w:eastAsia="zh-CN" w:bidi="ar"/>
              </w:rPr>
              <w:t>二级</w:t>
            </w:r>
          </w:p>
          <w:p w14:paraId="5101721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16"/>
                <w:szCs w:val="16"/>
                <w:u w:val="none"/>
              </w:rPr>
            </w:pPr>
            <w:r>
              <w:rPr>
                <w:rFonts w:hint="default" w:ascii="Times New Roman" w:hAnsi="Times New Roman" w:eastAsia="仿宋_GB2312" w:cs="Times New Roman"/>
                <w:b/>
                <w:bCs/>
                <w:i w:val="0"/>
                <w:iCs w:val="0"/>
                <w:color w:val="000000"/>
                <w:kern w:val="0"/>
                <w:sz w:val="16"/>
                <w:szCs w:val="16"/>
                <w:u w:val="none"/>
                <w:lang w:val="en-US" w:eastAsia="zh-CN" w:bidi="ar"/>
              </w:rPr>
              <w:t>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AF0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16"/>
                <w:szCs w:val="16"/>
                <w:u w:val="none"/>
              </w:rPr>
            </w:pPr>
            <w:r>
              <w:rPr>
                <w:rFonts w:hint="default" w:ascii="Times New Roman" w:hAnsi="Times New Roman" w:eastAsia="仿宋_GB2312" w:cs="Times New Roman"/>
                <w:b/>
                <w:bCs/>
                <w:i w:val="0"/>
                <w:iCs w:val="0"/>
                <w:color w:val="000000"/>
                <w:kern w:val="0"/>
                <w:sz w:val="16"/>
                <w:szCs w:val="16"/>
                <w:u w:val="none"/>
                <w:lang w:val="en-US" w:eastAsia="zh-CN" w:bidi="ar"/>
              </w:rPr>
              <w:t>三级指标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32CD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16"/>
                <w:szCs w:val="16"/>
                <w:u w:val="none"/>
              </w:rPr>
            </w:pPr>
            <w:r>
              <w:rPr>
                <w:rFonts w:hint="default" w:ascii="Times New Roman" w:hAnsi="Times New Roman" w:eastAsia="仿宋_GB2312" w:cs="Times New Roman"/>
                <w:b/>
                <w:bCs/>
                <w:i w:val="0"/>
                <w:iCs w:val="0"/>
                <w:color w:val="000000"/>
                <w:kern w:val="0"/>
                <w:sz w:val="16"/>
                <w:szCs w:val="16"/>
                <w:u w:val="none"/>
                <w:lang w:val="en-US" w:eastAsia="zh-CN" w:bidi="ar"/>
              </w:rPr>
              <w:t>分值</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75FE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16"/>
                <w:szCs w:val="16"/>
                <w:u w:val="none"/>
              </w:rPr>
            </w:pPr>
            <w:r>
              <w:rPr>
                <w:rFonts w:hint="default" w:ascii="Times New Roman" w:hAnsi="Times New Roman" w:eastAsia="仿宋_GB2312" w:cs="Times New Roman"/>
                <w:b/>
                <w:bCs/>
                <w:i w:val="0"/>
                <w:iCs w:val="0"/>
                <w:color w:val="000000"/>
                <w:kern w:val="0"/>
                <w:sz w:val="16"/>
                <w:szCs w:val="16"/>
                <w:u w:val="none"/>
                <w:lang w:val="en-US" w:eastAsia="zh-CN" w:bidi="ar"/>
              </w:rPr>
              <w:t>评价标准</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F7F1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16"/>
                <w:szCs w:val="16"/>
                <w:u w:val="none"/>
              </w:rPr>
            </w:pPr>
            <w:r>
              <w:rPr>
                <w:rFonts w:hint="default" w:ascii="Times New Roman" w:hAnsi="Times New Roman" w:eastAsia="仿宋_GB2312" w:cs="Times New Roman"/>
                <w:b/>
                <w:bCs/>
                <w:i w:val="0"/>
                <w:iCs w:val="0"/>
                <w:color w:val="000000"/>
                <w:kern w:val="0"/>
                <w:sz w:val="16"/>
                <w:szCs w:val="16"/>
                <w:u w:val="none"/>
                <w:lang w:val="en-US" w:eastAsia="zh-CN" w:bidi="ar"/>
              </w:rPr>
              <w:t>指标说明</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0E9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16"/>
                <w:szCs w:val="16"/>
                <w:u w:val="none"/>
              </w:rPr>
            </w:pPr>
            <w:r>
              <w:rPr>
                <w:rFonts w:hint="default" w:ascii="Times New Roman" w:hAnsi="Times New Roman" w:eastAsia="仿宋_GB2312" w:cs="Times New Roman"/>
                <w:b/>
                <w:bCs/>
                <w:i w:val="0"/>
                <w:iCs w:val="0"/>
                <w:color w:val="000000"/>
                <w:kern w:val="0"/>
                <w:sz w:val="16"/>
                <w:szCs w:val="16"/>
                <w:u w:val="none"/>
                <w:lang w:val="en-US" w:eastAsia="zh-CN" w:bidi="ar"/>
              </w:rPr>
              <w:t>评价情况</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E42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bCs/>
                <w:i w:val="0"/>
                <w:iCs w:val="0"/>
                <w:color w:val="000000"/>
                <w:sz w:val="16"/>
                <w:szCs w:val="16"/>
                <w:u w:val="none"/>
              </w:rPr>
            </w:pPr>
            <w:r>
              <w:rPr>
                <w:rFonts w:hint="default" w:ascii="Times New Roman" w:hAnsi="Times New Roman" w:eastAsia="仿宋_GB2312" w:cs="Times New Roman"/>
                <w:b/>
                <w:bCs/>
                <w:i w:val="0"/>
                <w:iCs w:val="0"/>
                <w:color w:val="000000"/>
                <w:kern w:val="0"/>
                <w:sz w:val="16"/>
                <w:szCs w:val="16"/>
                <w:u w:val="none"/>
                <w:lang w:val="en-US" w:eastAsia="zh-CN" w:bidi="ar"/>
              </w:rPr>
              <w:t>得分</w:t>
            </w:r>
          </w:p>
        </w:tc>
      </w:tr>
      <w:tr w14:paraId="4851F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0677A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投入10分</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56A3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目标设定6分</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5ECB4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绩效目标合理性</w:t>
            </w:r>
          </w:p>
        </w:tc>
        <w:tc>
          <w:tcPr>
            <w:tcW w:w="614" w:type="dxa"/>
            <w:vMerge w:val="restart"/>
            <w:tcBorders>
              <w:top w:val="single" w:color="000000" w:sz="4" w:space="0"/>
              <w:left w:val="single" w:color="000000" w:sz="4" w:space="0"/>
              <w:bottom w:val="single" w:color="000000" w:sz="4" w:space="0"/>
              <w:right w:val="nil"/>
            </w:tcBorders>
            <w:shd w:val="clear" w:color="auto" w:fill="auto"/>
            <w:vAlign w:val="center"/>
          </w:tcPr>
          <w:p w14:paraId="217767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c>
          <w:tcPr>
            <w:tcW w:w="4308" w:type="dxa"/>
            <w:tcBorders>
              <w:top w:val="nil"/>
              <w:left w:val="single" w:color="000000" w:sz="4" w:space="0"/>
              <w:bottom w:val="nil"/>
              <w:right w:val="single" w:color="000000" w:sz="4" w:space="0"/>
            </w:tcBorders>
            <w:shd w:val="clear" w:color="auto" w:fill="auto"/>
            <w:vAlign w:val="center"/>
          </w:tcPr>
          <w:p w14:paraId="73B42FB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①符合国家法律法规、国民经济和社会发展总体规划，计1分，否则不得分；</w:t>
            </w:r>
          </w:p>
        </w:tc>
        <w:tc>
          <w:tcPr>
            <w:tcW w:w="3371" w:type="dxa"/>
            <w:vMerge w:val="restart"/>
            <w:tcBorders>
              <w:top w:val="single" w:color="000000" w:sz="4" w:space="0"/>
              <w:left w:val="nil"/>
              <w:bottom w:val="single" w:color="000000" w:sz="4" w:space="0"/>
              <w:right w:val="single" w:color="000000" w:sz="4" w:space="0"/>
            </w:tcBorders>
            <w:shd w:val="clear" w:color="auto" w:fill="auto"/>
            <w:vAlign w:val="center"/>
          </w:tcPr>
          <w:p w14:paraId="4CABC0D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部门所设立的整体绩效目标依据是否充分，是否符合客观实际，用以反映和考核部门整体绩效目标与部门履职、年度工作任务的相符性情况。</w:t>
            </w:r>
          </w:p>
        </w:tc>
        <w:tc>
          <w:tcPr>
            <w:tcW w:w="2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1E432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符合要求</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D514F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r>
      <w:tr w14:paraId="157E1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8E71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AA50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E5B5B9">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7BF750E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46D249F1">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②符合部门“三定”方案确定的职责，计1分，否则不得分；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02280CF4">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9AC2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0139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5F96A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5A55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C3013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84C843">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172B2A0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single" w:color="000000" w:sz="4" w:space="0"/>
              <w:right w:val="single" w:color="000000" w:sz="4" w:space="0"/>
            </w:tcBorders>
            <w:shd w:val="clear" w:color="auto" w:fill="auto"/>
            <w:vAlign w:val="center"/>
          </w:tcPr>
          <w:p w14:paraId="10122A81">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③符合部门制定的中长期实施规划，计1分，否则不得分。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2E0F0485">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86C8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1FD1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059C7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FC7E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4F2F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DAF7B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绩效指标明确性</w:t>
            </w:r>
          </w:p>
        </w:tc>
        <w:tc>
          <w:tcPr>
            <w:tcW w:w="614" w:type="dxa"/>
            <w:vMerge w:val="restart"/>
            <w:tcBorders>
              <w:top w:val="single" w:color="000000" w:sz="4" w:space="0"/>
              <w:left w:val="single" w:color="000000" w:sz="4" w:space="0"/>
              <w:bottom w:val="single" w:color="000000" w:sz="4" w:space="0"/>
              <w:right w:val="nil"/>
            </w:tcBorders>
            <w:shd w:val="clear" w:color="auto" w:fill="auto"/>
            <w:vAlign w:val="center"/>
          </w:tcPr>
          <w:p w14:paraId="6EA5BC3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c>
          <w:tcPr>
            <w:tcW w:w="4308" w:type="dxa"/>
            <w:tcBorders>
              <w:top w:val="single" w:color="000000" w:sz="4" w:space="0"/>
              <w:left w:val="single" w:color="000000" w:sz="4" w:space="0"/>
              <w:bottom w:val="nil"/>
              <w:right w:val="single" w:color="000000" w:sz="4" w:space="0"/>
            </w:tcBorders>
            <w:shd w:val="clear" w:color="auto" w:fill="auto"/>
            <w:vAlign w:val="center"/>
          </w:tcPr>
          <w:p w14:paraId="4DB2242A">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①将部门整体的绩效目标细化分解为具体的工作任务，计1分，存在一处不够细化的，扣0.2分，扣完为止；</w:t>
            </w:r>
          </w:p>
        </w:tc>
        <w:tc>
          <w:tcPr>
            <w:tcW w:w="3371" w:type="dxa"/>
            <w:vMerge w:val="restart"/>
            <w:tcBorders>
              <w:top w:val="nil"/>
              <w:left w:val="nil"/>
              <w:bottom w:val="single" w:color="000000" w:sz="4" w:space="0"/>
              <w:right w:val="single" w:color="000000" w:sz="4" w:space="0"/>
            </w:tcBorders>
            <w:shd w:val="clear" w:color="auto" w:fill="auto"/>
            <w:vAlign w:val="center"/>
          </w:tcPr>
          <w:p w14:paraId="43158942">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部门依据整体绩效目标所设定的绩效指标是否清晰、细化、可衡量，用以反映和考核部门整体绩效目标的明细化情况。</w:t>
            </w:r>
          </w:p>
        </w:tc>
        <w:tc>
          <w:tcPr>
            <w:tcW w:w="2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C0076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绩效指标较为明确</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5CD34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r>
      <w:tr w14:paraId="27694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EBA60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0F46A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964B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246B56E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6A5439F3">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②通过清晰、可衡量的指标值予以体现计1分，存在一处不够细化的，扣0.1分，扣完为止；</w:t>
            </w:r>
          </w:p>
        </w:tc>
        <w:tc>
          <w:tcPr>
            <w:tcW w:w="3371" w:type="dxa"/>
            <w:vMerge w:val="continue"/>
            <w:tcBorders>
              <w:top w:val="nil"/>
              <w:left w:val="nil"/>
              <w:bottom w:val="single" w:color="000000" w:sz="4" w:space="0"/>
              <w:right w:val="single" w:color="000000" w:sz="4" w:space="0"/>
            </w:tcBorders>
            <w:shd w:val="clear" w:color="auto" w:fill="auto"/>
            <w:vAlign w:val="center"/>
          </w:tcPr>
          <w:p w14:paraId="045F453E">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4AD3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9F663">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17F8C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799C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0A62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662E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7D5051A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0E8D04AE">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③与部门年度的任务数或计划数相对应计0.5分，存在一处不够细化的，扣0.1分，扣完为止；</w:t>
            </w:r>
          </w:p>
        </w:tc>
        <w:tc>
          <w:tcPr>
            <w:tcW w:w="3371" w:type="dxa"/>
            <w:vMerge w:val="continue"/>
            <w:tcBorders>
              <w:top w:val="nil"/>
              <w:left w:val="nil"/>
              <w:bottom w:val="single" w:color="000000" w:sz="4" w:space="0"/>
              <w:right w:val="single" w:color="000000" w:sz="4" w:space="0"/>
            </w:tcBorders>
            <w:shd w:val="clear" w:color="auto" w:fill="auto"/>
            <w:vAlign w:val="center"/>
          </w:tcPr>
          <w:p w14:paraId="7AA8AC53">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E4751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35E2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17003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81FC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B92B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FC4F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3D510453">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single" w:color="000000" w:sz="4" w:space="0"/>
              <w:right w:val="single" w:color="000000" w:sz="4" w:space="0"/>
            </w:tcBorders>
            <w:shd w:val="clear" w:color="auto" w:fill="auto"/>
            <w:vAlign w:val="center"/>
          </w:tcPr>
          <w:p w14:paraId="284D8781">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③与本年度部门预算资金相匹配计0.5分，存在一处不够细化的，扣0.1分，扣完为止。</w:t>
            </w:r>
          </w:p>
        </w:tc>
        <w:tc>
          <w:tcPr>
            <w:tcW w:w="3371" w:type="dxa"/>
            <w:vMerge w:val="continue"/>
            <w:tcBorders>
              <w:top w:val="nil"/>
              <w:left w:val="nil"/>
              <w:bottom w:val="single" w:color="000000" w:sz="4" w:space="0"/>
              <w:right w:val="single" w:color="000000" w:sz="4" w:space="0"/>
            </w:tcBorders>
            <w:shd w:val="clear" w:color="auto" w:fill="auto"/>
            <w:vAlign w:val="center"/>
          </w:tcPr>
          <w:p w14:paraId="3400AE83">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3F60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4FFAC">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72306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3923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CF757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预算配置4分</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68544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在职人员控制率</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249DE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vMerge w:val="restart"/>
            <w:tcBorders>
              <w:top w:val="nil"/>
              <w:left w:val="single" w:color="000000" w:sz="4" w:space="0"/>
              <w:bottom w:val="single" w:color="000000" w:sz="4" w:space="0"/>
              <w:right w:val="nil"/>
            </w:tcBorders>
            <w:shd w:val="clear" w:color="auto" w:fill="auto"/>
            <w:vAlign w:val="center"/>
          </w:tcPr>
          <w:p w14:paraId="712F3267">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Style w:val="43"/>
                <w:rFonts w:hint="default" w:ascii="Times New Roman" w:hAnsi="Times New Roman" w:eastAsia="仿宋_GB2312" w:cs="Times New Roman"/>
                <w:sz w:val="16"/>
                <w:szCs w:val="16"/>
                <w:lang w:val="en-US" w:eastAsia="zh-CN" w:bidi="ar"/>
              </w:rPr>
              <w:t>以100%为标准。在职人员控制率</w:t>
            </w:r>
            <w:r>
              <w:rPr>
                <w:rStyle w:val="44"/>
                <w:rFonts w:hint="default" w:ascii="Times New Roman" w:hAnsi="Times New Roman" w:eastAsia="仿宋_GB2312" w:cs="Times New Roman"/>
                <w:sz w:val="16"/>
                <w:szCs w:val="16"/>
                <w:lang w:val="en-US" w:eastAsia="zh-CN" w:bidi="ar"/>
              </w:rPr>
              <w:t>≦</w:t>
            </w:r>
            <w:r>
              <w:rPr>
                <w:rStyle w:val="43"/>
                <w:rFonts w:hint="default" w:ascii="Times New Roman" w:hAnsi="Times New Roman" w:eastAsia="仿宋_GB2312" w:cs="Times New Roman"/>
                <w:sz w:val="16"/>
                <w:szCs w:val="16"/>
                <w:lang w:val="en-US" w:eastAsia="zh-CN" w:bidi="ar"/>
              </w:rPr>
              <w:t>100%，计2分；每超过一个百分点扣0.5分，扣完为止。</w:t>
            </w:r>
          </w:p>
        </w:tc>
        <w:tc>
          <w:tcPr>
            <w:tcW w:w="3371" w:type="dxa"/>
            <w:tcBorders>
              <w:top w:val="single" w:color="000000" w:sz="4" w:space="0"/>
              <w:left w:val="single" w:color="000000" w:sz="4" w:space="0"/>
              <w:bottom w:val="nil"/>
              <w:right w:val="single" w:color="000000" w:sz="4" w:space="0"/>
            </w:tcBorders>
            <w:shd w:val="clear" w:color="auto" w:fill="auto"/>
            <w:vAlign w:val="center"/>
          </w:tcPr>
          <w:p w14:paraId="187E629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在职人员控制率=（在职人员数/编制数）×100%，在职人员数：部门（单位）实际在职人数，以财政局确定的部门决算编制口径为准。</w:t>
            </w:r>
          </w:p>
        </w:tc>
        <w:tc>
          <w:tcPr>
            <w:tcW w:w="2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E8A16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在职人员控制率=542/755*100%=71.79%。</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90B05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r>
      <w:tr w14:paraId="7B024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DC8C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D460C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84FDF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3838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vMerge w:val="continue"/>
            <w:tcBorders>
              <w:top w:val="nil"/>
              <w:left w:val="single" w:color="000000" w:sz="4" w:space="0"/>
              <w:bottom w:val="single" w:color="000000" w:sz="4" w:space="0"/>
              <w:right w:val="nil"/>
            </w:tcBorders>
            <w:shd w:val="clear" w:color="auto" w:fill="auto"/>
            <w:vAlign w:val="center"/>
          </w:tcPr>
          <w:p w14:paraId="3E6CD2DB">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3371" w:type="dxa"/>
            <w:tcBorders>
              <w:top w:val="nil"/>
              <w:left w:val="single" w:color="000000" w:sz="4" w:space="0"/>
              <w:bottom w:val="single" w:color="000000" w:sz="4" w:space="0"/>
              <w:right w:val="single" w:color="000000" w:sz="4" w:space="0"/>
            </w:tcBorders>
            <w:shd w:val="clear" w:color="auto" w:fill="auto"/>
            <w:vAlign w:val="center"/>
          </w:tcPr>
          <w:p w14:paraId="070AD7DC">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编制数：机构编制部门核定批复的部门（单位）的人员编制数。</w:t>
            </w: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3C719">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2612D">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1EDF6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7817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7855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C63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“三公经费”变动率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26A1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1B56E">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Style w:val="43"/>
                <w:rFonts w:hint="default" w:ascii="Times New Roman" w:hAnsi="Times New Roman" w:eastAsia="仿宋_GB2312" w:cs="Times New Roman"/>
                <w:sz w:val="16"/>
                <w:szCs w:val="16"/>
                <w:lang w:val="en-US" w:eastAsia="zh-CN" w:bidi="ar"/>
              </w:rPr>
              <w:t>“三公经费”变动率</w:t>
            </w:r>
            <w:r>
              <w:rPr>
                <w:rStyle w:val="44"/>
                <w:rFonts w:hint="default" w:ascii="Times New Roman" w:hAnsi="Times New Roman" w:eastAsia="仿宋_GB2312" w:cs="Times New Roman"/>
                <w:sz w:val="16"/>
                <w:szCs w:val="16"/>
                <w:lang w:val="en-US" w:eastAsia="zh-CN" w:bidi="ar"/>
              </w:rPr>
              <w:t>≦</w:t>
            </w:r>
            <w:r>
              <w:rPr>
                <w:rStyle w:val="43"/>
                <w:rFonts w:hint="default" w:ascii="Times New Roman" w:hAnsi="Times New Roman" w:eastAsia="仿宋_GB2312" w:cs="Times New Roman"/>
                <w:sz w:val="16"/>
                <w:szCs w:val="16"/>
                <w:lang w:val="en-US" w:eastAsia="zh-CN" w:bidi="ar"/>
              </w:rPr>
              <w:t>0,计2分；“三公经费”变动率＞0，每超过一个百分点扣0.5分，扣完为止。</w:t>
            </w:r>
          </w:p>
        </w:tc>
        <w:tc>
          <w:tcPr>
            <w:tcW w:w="3371" w:type="dxa"/>
            <w:tcBorders>
              <w:top w:val="nil"/>
              <w:left w:val="single" w:color="000000" w:sz="4" w:space="0"/>
              <w:bottom w:val="single" w:color="000000" w:sz="4" w:space="0"/>
              <w:right w:val="single" w:color="000000" w:sz="4" w:space="0"/>
            </w:tcBorders>
            <w:shd w:val="clear" w:color="auto" w:fill="auto"/>
            <w:vAlign w:val="center"/>
          </w:tcPr>
          <w:p w14:paraId="221BAF8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“三公经费”变动率=[（本年度“三公经费”预算数-上年度“三公经费”预算数）/上年度“三公经费”预算数]×100%</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0BE8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“三公经费”变动率=（54-66）/66*100%=-18.18%。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12B7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r>
      <w:tr w14:paraId="66C56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E79B6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过程30分</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199FB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预算执行15分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39AF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预算完成率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1C5C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F41CF">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≥98%计满分，每低于1%扣0.1分，扣完为止。</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687B8">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预算完成率=（预算完成数/预算数）×100%。</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3EC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预算完成率=（21155.40/21671.57）*100%=97.62%。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0E79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1.9</w:t>
            </w:r>
          </w:p>
        </w:tc>
      </w:tr>
      <w:tr w14:paraId="77CB3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0C84D">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9BA7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FA6B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预算调整率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080E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A88E9">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预算调整率≤10%，计2分；每超出1%扣0.1分，扣完为止</w:t>
            </w:r>
          </w:p>
        </w:tc>
        <w:tc>
          <w:tcPr>
            <w:tcW w:w="3371" w:type="dxa"/>
            <w:tcBorders>
              <w:top w:val="single" w:color="000000" w:sz="4" w:space="0"/>
              <w:left w:val="single" w:color="000000" w:sz="4" w:space="0"/>
              <w:bottom w:val="nil"/>
              <w:right w:val="single" w:color="000000" w:sz="4" w:space="0"/>
            </w:tcBorders>
            <w:shd w:val="clear" w:color="auto" w:fill="auto"/>
            <w:vAlign w:val="center"/>
          </w:tcPr>
          <w:p w14:paraId="2EE9BDDC">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kern w:val="0"/>
                <w:sz w:val="16"/>
                <w:szCs w:val="16"/>
                <w:u w:val="none"/>
                <w:lang w:val="en-US" w:eastAsia="zh-CN" w:bidi="ar"/>
              </w:rPr>
            </w:pPr>
            <w:r>
              <w:rPr>
                <w:rFonts w:hint="default" w:ascii="Times New Roman" w:hAnsi="Times New Roman" w:eastAsia="仿宋_GB2312" w:cs="Times New Roman"/>
                <w:i w:val="0"/>
                <w:iCs w:val="0"/>
                <w:color w:val="000000"/>
                <w:kern w:val="0"/>
                <w:sz w:val="16"/>
                <w:szCs w:val="16"/>
                <w:u w:val="none"/>
                <w:lang w:val="en-US" w:eastAsia="zh-CN" w:bidi="ar"/>
              </w:rPr>
              <w:t>预算调整率=（预算调整数/年初预算数）×100%。</w:t>
            </w:r>
          </w:p>
          <w:p w14:paraId="552BCE59">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 xml:space="preserve"> 预算调整数：部门(单位)在本年度内涉及预算的追加、追减或结构调整的资金总和(因落实国家政策、发生不可抗力、上级部门或本级党委政府临时交办而产生的调整除外)。</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44D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预算调整率=（1668.47/18469.67）*100%=9.03%。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EB90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r>
      <w:tr w14:paraId="48B1E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C2A7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CE96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1BD8A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支付进度率</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5EA23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w:t>
            </w:r>
          </w:p>
        </w:tc>
        <w:tc>
          <w:tcPr>
            <w:tcW w:w="4308" w:type="dxa"/>
            <w:vMerge w:val="restart"/>
            <w:tcBorders>
              <w:top w:val="single" w:color="000000" w:sz="4" w:space="0"/>
              <w:left w:val="single" w:color="000000" w:sz="4" w:space="0"/>
              <w:bottom w:val="single" w:color="000000" w:sz="4" w:space="0"/>
              <w:right w:val="nil"/>
            </w:tcBorders>
            <w:shd w:val="clear" w:color="auto" w:fill="auto"/>
            <w:vAlign w:val="center"/>
          </w:tcPr>
          <w:p w14:paraId="3D1D3B1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符合要求计满分，否则计0分。</w:t>
            </w:r>
          </w:p>
        </w:tc>
        <w:tc>
          <w:tcPr>
            <w:tcW w:w="3371" w:type="dxa"/>
            <w:tcBorders>
              <w:top w:val="single" w:color="000000" w:sz="4" w:space="0"/>
              <w:left w:val="single" w:color="000000" w:sz="4" w:space="0"/>
              <w:bottom w:val="nil"/>
              <w:right w:val="single" w:color="000000" w:sz="4" w:space="0"/>
            </w:tcBorders>
            <w:shd w:val="clear" w:color="auto" w:fill="auto"/>
            <w:vAlign w:val="center"/>
          </w:tcPr>
          <w:p w14:paraId="39461F8E">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支付进度率=（实际支付进度/既定支付进度）×100%。</w:t>
            </w:r>
          </w:p>
        </w:tc>
        <w:tc>
          <w:tcPr>
            <w:tcW w:w="2052" w:type="dxa"/>
            <w:vMerge w:val="restart"/>
            <w:tcBorders>
              <w:top w:val="single" w:color="000000" w:sz="4" w:space="0"/>
              <w:left w:val="nil"/>
              <w:bottom w:val="single" w:color="000000" w:sz="4" w:space="0"/>
              <w:right w:val="single" w:color="000000" w:sz="4" w:space="0"/>
            </w:tcBorders>
            <w:shd w:val="clear" w:color="auto" w:fill="auto"/>
            <w:vAlign w:val="center"/>
          </w:tcPr>
          <w:p w14:paraId="7D1E819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支付进度符合要求。</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CB4CE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w:t>
            </w:r>
          </w:p>
        </w:tc>
      </w:tr>
      <w:tr w14:paraId="37841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37916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BFB6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1A8C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EB35C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vMerge w:val="continue"/>
            <w:tcBorders>
              <w:top w:val="single" w:color="000000" w:sz="4" w:space="0"/>
              <w:left w:val="single" w:color="000000" w:sz="4" w:space="0"/>
              <w:bottom w:val="single" w:color="000000" w:sz="4" w:space="0"/>
              <w:right w:val="nil"/>
            </w:tcBorders>
            <w:shd w:val="clear" w:color="auto" w:fill="auto"/>
            <w:vAlign w:val="center"/>
          </w:tcPr>
          <w:p w14:paraId="2963DF30">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3371" w:type="dxa"/>
            <w:tcBorders>
              <w:top w:val="nil"/>
              <w:left w:val="single" w:color="000000" w:sz="4" w:space="0"/>
              <w:bottom w:val="nil"/>
              <w:right w:val="single" w:color="000000" w:sz="4" w:space="0"/>
            </w:tcBorders>
            <w:shd w:val="clear" w:color="auto" w:fill="auto"/>
            <w:vAlign w:val="center"/>
          </w:tcPr>
          <w:p w14:paraId="5B277C9F">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实际支付进度：部门在某一时点的支出预算执行总数与年度支出预算数的比率。</w:t>
            </w:r>
          </w:p>
        </w:tc>
        <w:tc>
          <w:tcPr>
            <w:tcW w:w="2052" w:type="dxa"/>
            <w:vMerge w:val="continue"/>
            <w:tcBorders>
              <w:top w:val="single" w:color="000000" w:sz="4" w:space="0"/>
              <w:left w:val="nil"/>
              <w:bottom w:val="single" w:color="000000" w:sz="4" w:space="0"/>
              <w:right w:val="single" w:color="000000" w:sz="4" w:space="0"/>
            </w:tcBorders>
            <w:shd w:val="clear" w:color="auto" w:fill="auto"/>
            <w:vAlign w:val="center"/>
          </w:tcPr>
          <w:p w14:paraId="2B9AB31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275DA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372A3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2FEB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208E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6ABE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A7159">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vMerge w:val="continue"/>
            <w:tcBorders>
              <w:top w:val="single" w:color="000000" w:sz="4" w:space="0"/>
              <w:left w:val="single" w:color="000000" w:sz="4" w:space="0"/>
              <w:bottom w:val="single" w:color="000000" w:sz="4" w:space="0"/>
              <w:right w:val="nil"/>
            </w:tcBorders>
            <w:shd w:val="clear" w:color="auto" w:fill="auto"/>
            <w:vAlign w:val="center"/>
          </w:tcPr>
          <w:p w14:paraId="2059FC4A">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3371" w:type="dxa"/>
            <w:tcBorders>
              <w:top w:val="nil"/>
              <w:left w:val="single" w:color="000000" w:sz="4" w:space="0"/>
              <w:bottom w:val="single" w:color="000000" w:sz="4" w:space="0"/>
              <w:right w:val="single" w:color="000000" w:sz="4" w:space="0"/>
            </w:tcBorders>
            <w:shd w:val="clear" w:color="auto" w:fill="auto"/>
            <w:vAlign w:val="center"/>
          </w:tcPr>
          <w:p w14:paraId="54139D2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既定支付进度：由部门在申报部门整体绩效目标时，参照序时支付进度、前三年支付进度、同级部门平均支付进度水平等确定的，在某一时点应达到的支付进度（比率）。</w:t>
            </w:r>
          </w:p>
        </w:tc>
        <w:tc>
          <w:tcPr>
            <w:tcW w:w="2052" w:type="dxa"/>
            <w:vMerge w:val="continue"/>
            <w:tcBorders>
              <w:top w:val="single" w:color="000000" w:sz="4" w:space="0"/>
              <w:left w:val="nil"/>
              <w:bottom w:val="single" w:color="000000" w:sz="4" w:space="0"/>
              <w:right w:val="single" w:color="000000" w:sz="4" w:space="0"/>
            </w:tcBorders>
            <w:shd w:val="clear" w:color="auto" w:fill="auto"/>
            <w:vAlign w:val="center"/>
          </w:tcPr>
          <w:p w14:paraId="513D3C2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72E3D">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37164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BBB9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33A6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BADC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结转结余变动率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7102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1816F">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≤0计满分，每超出5%扣1分，扣完为止。</w:t>
            </w:r>
          </w:p>
        </w:tc>
        <w:tc>
          <w:tcPr>
            <w:tcW w:w="3371" w:type="dxa"/>
            <w:tcBorders>
              <w:top w:val="nil"/>
              <w:left w:val="single" w:color="000000" w:sz="4" w:space="0"/>
              <w:bottom w:val="single" w:color="000000" w:sz="4" w:space="0"/>
              <w:right w:val="single" w:color="000000" w:sz="4" w:space="0"/>
            </w:tcBorders>
            <w:shd w:val="clear" w:color="auto" w:fill="auto"/>
            <w:vAlign w:val="center"/>
          </w:tcPr>
          <w:p w14:paraId="786ADDD5">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结转结余变动率=[（本年度累计结转结余资金总额-上年度累计结转结余资金总额）/上年度累计结转结余资金总额]×100%。</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8D1F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结转结余变动率=（516.17-28）/28=1743.46%。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A6B9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0</w:t>
            </w:r>
          </w:p>
        </w:tc>
      </w:tr>
      <w:tr w14:paraId="548E1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D64E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C18AB">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0D188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公用经费控制率</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B746A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c>
          <w:tcPr>
            <w:tcW w:w="4308" w:type="dxa"/>
            <w:vMerge w:val="restart"/>
            <w:tcBorders>
              <w:top w:val="single" w:color="000000" w:sz="4" w:space="0"/>
              <w:left w:val="single" w:color="000000" w:sz="4" w:space="0"/>
              <w:bottom w:val="single" w:color="000000" w:sz="4" w:space="0"/>
              <w:right w:val="nil"/>
            </w:tcBorders>
            <w:shd w:val="clear" w:color="auto" w:fill="auto"/>
            <w:vAlign w:val="center"/>
          </w:tcPr>
          <w:p w14:paraId="02FD0B76">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100%以下（含）计满分，每超出1%扣1分，扣完为止。</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3C7EA">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公用经费控制率=（实际支出公用经费总额/预算安排公用经费总额）×100%。</w:t>
            </w:r>
          </w:p>
        </w:tc>
        <w:tc>
          <w:tcPr>
            <w:tcW w:w="2052" w:type="dxa"/>
            <w:vMerge w:val="restart"/>
            <w:tcBorders>
              <w:top w:val="single" w:color="000000" w:sz="4" w:space="0"/>
              <w:left w:val="nil"/>
              <w:bottom w:val="single" w:color="000000" w:sz="4" w:space="0"/>
              <w:right w:val="single" w:color="000000" w:sz="4" w:space="0"/>
            </w:tcBorders>
            <w:shd w:val="clear" w:color="auto" w:fill="auto"/>
            <w:vAlign w:val="center"/>
          </w:tcPr>
          <w:p w14:paraId="19024B9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公用经费控制率=4477.72/4478*100%=99.88%。</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7EB40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r>
      <w:tr w14:paraId="087A5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8F1F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D440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EC0A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7AA3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vMerge w:val="continue"/>
            <w:tcBorders>
              <w:top w:val="single" w:color="000000" w:sz="4" w:space="0"/>
              <w:left w:val="single" w:color="000000" w:sz="4" w:space="0"/>
              <w:bottom w:val="single" w:color="000000" w:sz="4" w:space="0"/>
              <w:right w:val="nil"/>
            </w:tcBorders>
            <w:shd w:val="clear" w:color="auto" w:fill="auto"/>
            <w:vAlign w:val="center"/>
          </w:tcPr>
          <w:p w14:paraId="3ABC16E9">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49527">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公用经费支出是指部门基本支出中的一般商品和服务支出。</w:t>
            </w:r>
          </w:p>
        </w:tc>
        <w:tc>
          <w:tcPr>
            <w:tcW w:w="2052" w:type="dxa"/>
            <w:vMerge w:val="continue"/>
            <w:tcBorders>
              <w:top w:val="single" w:color="000000" w:sz="4" w:space="0"/>
              <w:left w:val="nil"/>
              <w:bottom w:val="single" w:color="000000" w:sz="4" w:space="0"/>
              <w:right w:val="single" w:color="000000" w:sz="4" w:space="0"/>
            </w:tcBorders>
            <w:shd w:val="clear" w:color="auto" w:fill="auto"/>
            <w:vAlign w:val="center"/>
          </w:tcPr>
          <w:p w14:paraId="616EF22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AA577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265A3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AC23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8070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4609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“三公经费”控制率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FEFA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CD0EB">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100%以下（含）计满分，否则计0分</w:t>
            </w:r>
          </w:p>
        </w:tc>
        <w:tc>
          <w:tcPr>
            <w:tcW w:w="3371" w:type="dxa"/>
            <w:tcBorders>
              <w:top w:val="nil"/>
              <w:left w:val="single" w:color="000000" w:sz="4" w:space="0"/>
              <w:bottom w:val="single" w:color="000000" w:sz="4" w:space="0"/>
              <w:right w:val="single" w:color="000000" w:sz="4" w:space="0"/>
            </w:tcBorders>
            <w:shd w:val="clear" w:color="auto" w:fill="auto"/>
            <w:vAlign w:val="center"/>
          </w:tcPr>
          <w:p w14:paraId="5D187241">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“三公经费”控制率=（“三公经费”实际支出数/“三公经费”预算安排数）×100%。</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2DF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“三公经费”控制率=23.36/54*100%=43.63%。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0942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r>
      <w:tr w14:paraId="18FC2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5FFB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366A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2A5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政府采购节资率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174F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FDC66">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＞0计满分，否则计0分。</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5CD8F">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节资率=（预算资金－实际采购资金）/预算资金。</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AD95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节资率=(2421.48-2206.68)/2421.48=8.8%。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A0A9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w:t>
            </w:r>
          </w:p>
        </w:tc>
      </w:tr>
      <w:tr w14:paraId="56A3F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EDD4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CCEB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4C7D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政府采购执行率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025C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nil"/>
              <w:right w:val="single" w:color="000000" w:sz="4" w:space="0"/>
            </w:tcBorders>
            <w:shd w:val="clear" w:color="auto" w:fill="auto"/>
            <w:vAlign w:val="center"/>
          </w:tcPr>
          <w:p w14:paraId="5C60420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等于100%计满分，每超过（降低）5%扣0.5分，扣完为止。</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53973">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政府采购执行率%=（实际履约验收个数/政府采购个数）×100%</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2646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实际履约验收6个，政府采购7个，政府采购执行率%=6/7*100%=85.71%，扣1.5分。</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11E0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0.5</w:t>
            </w:r>
          </w:p>
        </w:tc>
      </w:tr>
      <w:tr w14:paraId="0DD66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CB7FBB">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A60A6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预算管理10分</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3C219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管理制度健全性</w:t>
            </w:r>
          </w:p>
        </w:tc>
        <w:tc>
          <w:tcPr>
            <w:tcW w:w="614" w:type="dxa"/>
            <w:vMerge w:val="restart"/>
            <w:tcBorders>
              <w:top w:val="single" w:color="000000" w:sz="4" w:space="0"/>
              <w:left w:val="single" w:color="000000" w:sz="4" w:space="0"/>
              <w:bottom w:val="single" w:color="000000" w:sz="4" w:space="0"/>
              <w:right w:val="nil"/>
            </w:tcBorders>
            <w:shd w:val="clear" w:color="auto" w:fill="auto"/>
            <w:vAlign w:val="center"/>
          </w:tcPr>
          <w:p w14:paraId="2D65FF5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nil"/>
              <w:right w:val="single" w:color="000000" w:sz="4" w:space="0"/>
            </w:tcBorders>
            <w:shd w:val="clear" w:color="auto" w:fill="auto"/>
            <w:vAlign w:val="center"/>
          </w:tcPr>
          <w:p w14:paraId="45ADB144">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①有内部财务管理制度、会计核算制度等管理制度，计0.5分，否则酌情扣分；</w:t>
            </w:r>
          </w:p>
        </w:tc>
        <w:tc>
          <w:tcPr>
            <w:tcW w:w="3371" w:type="dxa"/>
            <w:vMerge w:val="restart"/>
            <w:tcBorders>
              <w:top w:val="single" w:color="000000" w:sz="4" w:space="0"/>
              <w:left w:val="nil"/>
              <w:bottom w:val="single" w:color="000000" w:sz="4" w:space="0"/>
              <w:right w:val="single" w:color="000000" w:sz="4" w:space="0"/>
            </w:tcBorders>
            <w:shd w:val="clear" w:color="auto" w:fill="auto"/>
            <w:vAlign w:val="center"/>
          </w:tcPr>
          <w:p w14:paraId="7076331E">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部门（单位）为加强预算管理、规范财务行为而制定的管理制度是否健全完整，用以反映和考核部门（单位）预算管理制度对完成主要职责或促进事业发展的保障情况。</w:t>
            </w:r>
          </w:p>
        </w:tc>
        <w:tc>
          <w:tcPr>
            <w:tcW w:w="2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B3F5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管理制度健全，相关管理制度合法、合规、完整，资产管理制度执行不到位，扣0.3分。</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9179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1.7</w:t>
            </w:r>
          </w:p>
        </w:tc>
      </w:tr>
      <w:tr w14:paraId="5494E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4585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B346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F0B6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3E0EA0A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660CEA16">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②有本部门厉行节约制度，计0.5分，否则不得分。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4FCCF8DB">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F203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67B6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3A935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4B71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88DC1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2E669">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0DB04B7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62D6CBF6">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③相关管理制度合法、合规、完整，计0.5分，否则酌情扣分；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6893529F">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82071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87D3BB">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5DB6B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8F5C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40B6A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D75C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2A97AB1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6ED5E033">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④相关管理制度得到有效执行，计0.5分，1例不符合扣0.1分。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4C03B42E">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19FD1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4974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6E430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0806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BB57B">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42E44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资金使用合规性</w:t>
            </w:r>
          </w:p>
        </w:tc>
        <w:tc>
          <w:tcPr>
            <w:tcW w:w="614" w:type="dxa"/>
            <w:vMerge w:val="restart"/>
            <w:tcBorders>
              <w:top w:val="single" w:color="000000" w:sz="4" w:space="0"/>
              <w:left w:val="single" w:color="000000" w:sz="4" w:space="0"/>
              <w:bottom w:val="single" w:color="000000" w:sz="4" w:space="0"/>
              <w:right w:val="nil"/>
            </w:tcBorders>
            <w:shd w:val="clear" w:color="auto" w:fill="auto"/>
            <w:vAlign w:val="center"/>
          </w:tcPr>
          <w:p w14:paraId="74AAD5B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4</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6259C">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①支出符合国家财经法规和财务管理制度规定以及有关专项资金管理办法的规定，计0.5分，1例不符合扣0.2分；</w:t>
            </w:r>
          </w:p>
        </w:tc>
        <w:tc>
          <w:tcPr>
            <w:tcW w:w="3371" w:type="dxa"/>
            <w:vMerge w:val="restart"/>
            <w:tcBorders>
              <w:top w:val="single" w:color="000000" w:sz="4" w:space="0"/>
              <w:left w:val="nil"/>
              <w:bottom w:val="single" w:color="000000" w:sz="4" w:space="0"/>
              <w:right w:val="single" w:color="000000" w:sz="4" w:space="0"/>
            </w:tcBorders>
            <w:shd w:val="clear" w:color="auto" w:fill="auto"/>
            <w:vAlign w:val="center"/>
          </w:tcPr>
          <w:p w14:paraId="4F831640">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37F27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kern w:val="0"/>
                <w:sz w:val="16"/>
                <w:szCs w:val="16"/>
                <w:u w:val="none"/>
                <w:lang w:val="en-US" w:eastAsia="zh-CN" w:bidi="ar"/>
              </w:rPr>
            </w:pPr>
            <w:r>
              <w:rPr>
                <w:rFonts w:hint="default" w:ascii="Times New Roman" w:hAnsi="Times New Roman" w:eastAsia="仿宋_GB2312" w:cs="Times New Roman"/>
                <w:i w:val="0"/>
                <w:iCs w:val="0"/>
                <w:color w:val="000000"/>
                <w:kern w:val="0"/>
                <w:sz w:val="16"/>
                <w:szCs w:val="16"/>
                <w:u w:val="none"/>
                <w:lang w:val="en-US" w:eastAsia="zh-CN" w:bidi="ar"/>
              </w:rPr>
              <w:t>资金使用合规。</w:t>
            </w:r>
          </w:p>
          <w:p w14:paraId="5075216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存在个别项目审批和论证程序不到位，扣0.5分。</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3D040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3.5</w:t>
            </w:r>
          </w:p>
        </w:tc>
      </w:tr>
      <w:tr w14:paraId="56708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9867C">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B6D3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D279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777C9C6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E960E">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②资金拨付有完整的审批程序和手续计1分，1例不符合扣0.2分；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7172F51D">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683AB">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EAA9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57115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5606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813C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5B709">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5A9CCD4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single" w:color="000000" w:sz="4" w:space="0"/>
              <w:left w:val="single" w:color="000000" w:sz="4" w:space="0"/>
              <w:bottom w:val="nil"/>
              <w:right w:val="single" w:color="000000" w:sz="4" w:space="0"/>
            </w:tcBorders>
            <w:shd w:val="clear" w:color="auto" w:fill="auto"/>
            <w:vAlign w:val="center"/>
          </w:tcPr>
          <w:p w14:paraId="2B0E61FA">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③项目支出按规定经过评估论证和集体研究决策，计1分，1例不符合扣0.2分；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716CE6D3">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869EC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9F150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0A067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44BE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D5CA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3D78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6542FABB">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2B4622AE">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④支出符合部门预算批复的用途，计0.5分，1例不符合扣0.2分；；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45762F34">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E051C">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6B179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3C633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78AE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E3F4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1729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55CBD13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single" w:color="000000" w:sz="4" w:space="0"/>
              <w:right w:val="single" w:color="000000" w:sz="4" w:space="0"/>
            </w:tcBorders>
            <w:shd w:val="clear" w:color="auto" w:fill="auto"/>
            <w:vAlign w:val="center"/>
          </w:tcPr>
          <w:p w14:paraId="6C0538BB">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⑤资金使用无截留、挤占、挪用、虚列支出等情况，计1分，否则不计分；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51918520">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6B99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DBD45D">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18D4D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70333">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BD35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BDE9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预决算信息公开性</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89D8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nil"/>
              <w:left w:val="single" w:color="000000" w:sz="4" w:space="0"/>
              <w:bottom w:val="nil"/>
              <w:right w:val="single" w:color="000000" w:sz="4" w:space="0"/>
            </w:tcBorders>
            <w:shd w:val="clear" w:color="auto" w:fill="auto"/>
            <w:vAlign w:val="center"/>
          </w:tcPr>
          <w:p w14:paraId="4F69258F">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kern w:val="0"/>
                <w:sz w:val="16"/>
                <w:szCs w:val="16"/>
                <w:u w:val="none"/>
                <w:lang w:val="en-US" w:eastAsia="zh-CN" w:bidi="ar"/>
              </w:rPr>
            </w:pPr>
            <w:r>
              <w:rPr>
                <w:rFonts w:hint="default" w:ascii="Times New Roman" w:hAnsi="Times New Roman" w:eastAsia="仿宋_GB2312" w:cs="Times New Roman"/>
                <w:i w:val="0"/>
                <w:iCs w:val="0"/>
                <w:color w:val="000000"/>
                <w:kern w:val="0"/>
                <w:sz w:val="16"/>
                <w:szCs w:val="16"/>
                <w:u w:val="none"/>
                <w:lang w:val="en-US" w:eastAsia="zh-CN" w:bidi="ar"/>
              </w:rPr>
              <w:t>①按规定内容公开预决算信息，1分；</w:t>
            </w:r>
          </w:p>
          <w:p w14:paraId="76464C2C">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②按规定时限公开预决算信息，1分。</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1700D">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预决算信息是指与部门预算、执行、决算、监督、绩效等管理相关的信息。</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4037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按规定时限及规定内容公开预决算信息。</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7FDD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r>
      <w:tr w14:paraId="394D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F1A23">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F07B8B">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BB0E6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基础信息完善性</w:t>
            </w:r>
          </w:p>
        </w:tc>
        <w:tc>
          <w:tcPr>
            <w:tcW w:w="614" w:type="dxa"/>
            <w:vMerge w:val="restart"/>
            <w:tcBorders>
              <w:top w:val="single" w:color="000000" w:sz="4" w:space="0"/>
              <w:left w:val="single" w:color="000000" w:sz="4" w:space="0"/>
              <w:bottom w:val="single" w:color="000000" w:sz="4" w:space="0"/>
              <w:right w:val="nil"/>
            </w:tcBorders>
            <w:shd w:val="clear" w:color="auto" w:fill="auto"/>
            <w:vAlign w:val="center"/>
          </w:tcPr>
          <w:p w14:paraId="217D615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nil"/>
              <w:right w:val="single" w:color="000000" w:sz="4" w:space="0"/>
            </w:tcBorders>
            <w:shd w:val="clear" w:color="auto" w:fill="auto"/>
            <w:vAlign w:val="top"/>
          </w:tcPr>
          <w:p w14:paraId="6C680C2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①基础数据信息和会计信息数据真实，计1分；</w:t>
            </w:r>
          </w:p>
        </w:tc>
        <w:tc>
          <w:tcPr>
            <w:tcW w:w="3371" w:type="dxa"/>
            <w:vMerge w:val="restart"/>
            <w:tcBorders>
              <w:top w:val="single" w:color="000000" w:sz="4" w:space="0"/>
              <w:left w:val="nil"/>
              <w:bottom w:val="single" w:color="000000" w:sz="4" w:space="0"/>
              <w:right w:val="single" w:color="000000" w:sz="4" w:space="0"/>
            </w:tcBorders>
            <w:shd w:val="clear" w:color="auto" w:fill="auto"/>
            <w:vAlign w:val="center"/>
          </w:tcPr>
          <w:p w14:paraId="463BECB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2052" w:type="dxa"/>
            <w:vMerge w:val="restart"/>
            <w:tcBorders>
              <w:top w:val="single" w:color="000000" w:sz="4" w:space="0"/>
              <w:left w:val="single" w:color="000000" w:sz="4" w:space="0"/>
              <w:bottom w:val="nil"/>
              <w:right w:val="single" w:color="000000" w:sz="4" w:space="0"/>
            </w:tcBorders>
            <w:shd w:val="clear" w:color="auto" w:fill="auto"/>
            <w:vAlign w:val="center"/>
          </w:tcPr>
          <w:p w14:paraId="4B9F2BE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基础数据信息和会计信息数据真实、完整，但存在少量账务核算错误导致数据准确性降低。</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6E95D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1.5</w:t>
            </w:r>
          </w:p>
        </w:tc>
      </w:tr>
      <w:tr w14:paraId="00042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DFD7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1B6A8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B83BC">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6992635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6865F7BA">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②基础数据信息和会计信息数据完整，计0.5分；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3DDFB04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nil"/>
              <w:right w:val="single" w:color="000000" w:sz="4" w:space="0"/>
            </w:tcBorders>
            <w:shd w:val="clear" w:color="auto" w:fill="auto"/>
            <w:vAlign w:val="center"/>
          </w:tcPr>
          <w:p w14:paraId="7CCB0F6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2A16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056E8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D7E4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1FCE3">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29EF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7B03C3A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single" w:color="auto" w:sz="4" w:space="0"/>
              <w:right w:val="single" w:color="000000" w:sz="4" w:space="0"/>
            </w:tcBorders>
            <w:shd w:val="clear" w:color="auto" w:fill="auto"/>
            <w:vAlign w:val="top"/>
          </w:tcPr>
          <w:p w14:paraId="350C8D6E">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③基础数据信息和会计信息数据准确，计0.5分。</w:t>
            </w:r>
          </w:p>
        </w:tc>
        <w:tc>
          <w:tcPr>
            <w:tcW w:w="3371" w:type="dxa"/>
            <w:vMerge w:val="continue"/>
            <w:tcBorders>
              <w:top w:val="single" w:color="000000" w:sz="4" w:space="0"/>
              <w:left w:val="nil"/>
              <w:bottom w:val="single" w:color="000000" w:sz="4" w:space="0"/>
              <w:right w:val="single" w:color="000000" w:sz="4" w:space="0"/>
            </w:tcBorders>
            <w:shd w:val="clear" w:color="auto" w:fill="auto"/>
            <w:vAlign w:val="center"/>
          </w:tcPr>
          <w:p w14:paraId="7A01D3F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2052"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0DCD172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6CFA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4AF2B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C5B59">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F9677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资产管理5分</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EDA0D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管理制度健全性</w:t>
            </w:r>
          </w:p>
        </w:tc>
        <w:tc>
          <w:tcPr>
            <w:tcW w:w="614" w:type="dxa"/>
            <w:vMerge w:val="restart"/>
            <w:tcBorders>
              <w:top w:val="single" w:color="000000" w:sz="4" w:space="0"/>
              <w:left w:val="single" w:color="000000" w:sz="4" w:space="0"/>
              <w:bottom w:val="single" w:color="000000" w:sz="4" w:space="0"/>
              <w:right w:val="nil"/>
            </w:tcBorders>
            <w:shd w:val="clear" w:color="auto" w:fill="auto"/>
            <w:vAlign w:val="center"/>
          </w:tcPr>
          <w:p w14:paraId="3EB1EF1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w:t>
            </w:r>
          </w:p>
        </w:tc>
        <w:tc>
          <w:tcPr>
            <w:tcW w:w="4308" w:type="dxa"/>
            <w:tcBorders>
              <w:top w:val="single" w:color="auto" w:sz="4" w:space="0"/>
              <w:left w:val="single" w:color="000000" w:sz="4" w:space="0"/>
              <w:bottom w:val="nil"/>
              <w:right w:val="single" w:color="000000" w:sz="4" w:space="0"/>
            </w:tcBorders>
            <w:shd w:val="clear" w:color="auto" w:fill="auto"/>
            <w:vAlign w:val="center"/>
          </w:tcPr>
          <w:p w14:paraId="34404EF5">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 xml:space="preserve">①已制定或具有资产管理制度，计0.3分；  </w:t>
            </w:r>
          </w:p>
        </w:tc>
        <w:tc>
          <w:tcPr>
            <w:tcW w:w="3371" w:type="dxa"/>
            <w:vMerge w:val="restart"/>
            <w:tcBorders>
              <w:top w:val="single" w:color="000000" w:sz="4" w:space="0"/>
              <w:left w:val="nil"/>
              <w:bottom w:val="single" w:color="000000" w:sz="4" w:space="0"/>
              <w:right w:val="nil"/>
            </w:tcBorders>
            <w:shd w:val="clear" w:color="auto" w:fill="auto"/>
            <w:vAlign w:val="center"/>
          </w:tcPr>
          <w:p w14:paraId="082DD9D0">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部门（单位）为加强资产管理、规范资产管理行为而制定的管理制度是否健全完整，用以反映和考核部门资产管理制度对完成主要职责或促进社会发展的保障情况。</w:t>
            </w:r>
          </w:p>
        </w:tc>
        <w:tc>
          <w:tcPr>
            <w:tcW w:w="2052" w:type="dxa"/>
            <w:tcBorders>
              <w:top w:val="single" w:color="auto" w:sz="4" w:space="0"/>
              <w:left w:val="single" w:color="000000" w:sz="4" w:space="0"/>
              <w:bottom w:val="nil"/>
              <w:right w:val="single" w:color="000000" w:sz="4" w:space="0"/>
            </w:tcBorders>
            <w:shd w:val="clear" w:color="auto" w:fill="auto"/>
            <w:vAlign w:val="center"/>
          </w:tcPr>
          <w:p w14:paraId="0435181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已制定资产管理制度。</w:t>
            </w:r>
          </w:p>
        </w:tc>
        <w:tc>
          <w:tcPr>
            <w:tcW w:w="840" w:type="dxa"/>
            <w:vMerge w:val="restart"/>
            <w:tcBorders>
              <w:top w:val="single" w:color="000000" w:sz="4" w:space="0"/>
              <w:left w:val="nil"/>
              <w:bottom w:val="single" w:color="000000" w:sz="4" w:space="0"/>
              <w:right w:val="single" w:color="000000" w:sz="4" w:space="0"/>
            </w:tcBorders>
            <w:shd w:val="clear" w:color="auto" w:fill="auto"/>
            <w:vAlign w:val="center"/>
          </w:tcPr>
          <w:p w14:paraId="047AC09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0.8</w:t>
            </w:r>
          </w:p>
        </w:tc>
      </w:tr>
      <w:tr w14:paraId="3D616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5CE89">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45DB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EACD3">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3BC973D9">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6136E36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②相关资产管理制度是否合法、合规、完整，计0.2分；</w:t>
            </w:r>
          </w:p>
        </w:tc>
        <w:tc>
          <w:tcPr>
            <w:tcW w:w="3371" w:type="dxa"/>
            <w:vMerge w:val="continue"/>
            <w:tcBorders>
              <w:top w:val="single" w:color="000000" w:sz="4" w:space="0"/>
              <w:left w:val="nil"/>
              <w:bottom w:val="single" w:color="000000" w:sz="4" w:space="0"/>
              <w:right w:val="nil"/>
            </w:tcBorders>
            <w:shd w:val="clear" w:color="auto" w:fill="auto"/>
            <w:vAlign w:val="center"/>
          </w:tcPr>
          <w:p w14:paraId="1E328D75">
            <w:pPr>
              <w:keepNext w:val="0"/>
              <w:keepLines w:val="0"/>
              <w:pageBreakBefore w:val="0"/>
              <w:kinsoku/>
              <w:wordWrap/>
              <w:overflowPunct/>
              <w:topLinePunct w:val="0"/>
              <w:autoSpaceDE/>
              <w:autoSpaceDN/>
              <w:bidi w:val="0"/>
              <w:adjustRightInd/>
              <w:snapToGrid/>
              <w:spacing w:line="240" w:lineRule="exact"/>
              <w:jc w:val="left"/>
              <w:rPr>
                <w:rFonts w:hint="default" w:ascii="Times New Roman" w:hAnsi="Times New Roman" w:eastAsia="仿宋_GB2312" w:cs="Times New Roman"/>
                <w:i w:val="0"/>
                <w:iCs w:val="0"/>
                <w:color w:val="000000"/>
                <w:sz w:val="16"/>
                <w:szCs w:val="16"/>
                <w:u w:val="none"/>
              </w:rPr>
            </w:pPr>
          </w:p>
        </w:tc>
        <w:tc>
          <w:tcPr>
            <w:tcW w:w="2052" w:type="dxa"/>
            <w:tcBorders>
              <w:top w:val="nil"/>
              <w:left w:val="single" w:color="000000" w:sz="4" w:space="0"/>
              <w:bottom w:val="nil"/>
              <w:right w:val="single" w:color="000000" w:sz="4" w:space="0"/>
            </w:tcBorders>
            <w:shd w:val="clear" w:color="auto" w:fill="auto"/>
            <w:vAlign w:val="center"/>
          </w:tcPr>
          <w:p w14:paraId="07A17BD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制度合法合规完整。</w:t>
            </w:r>
          </w:p>
        </w:tc>
        <w:tc>
          <w:tcPr>
            <w:tcW w:w="840" w:type="dxa"/>
            <w:vMerge w:val="continue"/>
            <w:tcBorders>
              <w:top w:val="single" w:color="000000" w:sz="4" w:space="0"/>
              <w:left w:val="nil"/>
              <w:bottom w:val="single" w:color="000000" w:sz="4" w:space="0"/>
              <w:right w:val="single" w:color="000000" w:sz="4" w:space="0"/>
            </w:tcBorders>
            <w:shd w:val="clear" w:color="auto" w:fill="auto"/>
            <w:vAlign w:val="center"/>
          </w:tcPr>
          <w:p w14:paraId="4006065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4C8DE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8E64F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275CD9">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5662E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606976C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504E35E2">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③相关资产管理制度是否得到有效执行，计0.2分。</w:t>
            </w:r>
          </w:p>
        </w:tc>
        <w:tc>
          <w:tcPr>
            <w:tcW w:w="3371" w:type="dxa"/>
            <w:vMerge w:val="continue"/>
            <w:tcBorders>
              <w:top w:val="single" w:color="000000" w:sz="4" w:space="0"/>
              <w:left w:val="nil"/>
              <w:bottom w:val="single" w:color="000000" w:sz="4" w:space="0"/>
              <w:right w:val="nil"/>
            </w:tcBorders>
            <w:shd w:val="clear" w:color="auto" w:fill="auto"/>
            <w:vAlign w:val="center"/>
          </w:tcPr>
          <w:p w14:paraId="10F95761">
            <w:pPr>
              <w:keepNext w:val="0"/>
              <w:keepLines w:val="0"/>
              <w:pageBreakBefore w:val="0"/>
              <w:kinsoku/>
              <w:wordWrap/>
              <w:overflowPunct/>
              <w:topLinePunct w:val="0"/>
              <w:autoSpaceDE/>
              <w:autoSpaceDN/>
              <w:bidi w:val="0"/>
              <w:adjustRightInd/>
              <w:snapToGrid/>
              <w:spacing w:line="240" w:lineRule="exact"/>
              <w:jc w:val="left"/>
              <w:rPr>
                <w:rFonts w:hint="default" w:ascii="Times New Roman" w:hAnsi="Times New Roman" w:eastAsia="仿宋_GB2312" w:cs="Times New Roman"/>
                <w:i w:val="0"/>
                <w:iCs w:val="0"/>
                <w:color w:val="000000"/>
                <w:sz w:val="16"/>
                <w:szCs w:val="16"/>
                <w:u w:val="none"/>
              </w:rPr>
            </w:pPr>
          </w:p>
        </w:tc>
        <w:tc>
          <w:tcPr>
            <w:tcW w:w="2052" w:type="dxa"/>
            <w:tcBorders>
              <w:top w:val="nil"/>
              <w:left w:val="single" w:color="000000" w:sz="4" w:space="0"/>
              <w:bottom w:val="nil"/>
              <w:right w:val="single" w:color="000000" w:sz="4" w:space="0"/>
            </w:tcBorders>
            <w:shd w:val="clear" w:color="auto" w:fill="auto"/>
            <w:vAlign w:val="center"/>
          </w:tcPr>
          <w:p w14:paraId="2416579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资产管理制度未得到有效执行，扣0.2分。</w:t>
            </w:r>
          </w:p>
        </w:tc>
        <w:tc>
          <w:tcPr>
            <w:tcW w:w="840" w:type="dxa"/>
            <w:vMerge w:val="continue"/>
            <w:tcBorders>
              <w:top w:val="single" w:color="000000" w:sz="4" w:space="0"/>
              <w:left w:val="nil"/>
              <w:bottom w:val="single" w:color="000000" w:sz="4" w:space="0"/>
              <w:right w:val="single" w:color="000000" w:sz="4" w:space="0"/>
            </w:tcBorders>
            <w:shd w:val="clear" w:color="auto" w:fill="auto"/>
            <w:vAlign w:val="center"/>
          </w:tcPr>
          <w:p w14:paraId="1AC86119">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65670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DF40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FC52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000CA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资产管理安全性</w:t>
            </w:r>
          </w:p>
        </w:tc>
        <w:tc>
          <w:tcPr>
            <w:tcW w:w="614" w:type="dxa"/>
            <w:vMerge w:val="restart"/>
            <w:tcBorders>
              <w:top w:val="single" w:color="000000" w:sz="4" w:space="0"/>
              <w:left w:val="single" w:color="000000" w:sz="4" w:space="0"/>
              <w:bottom w:val="single" w:color="000000" w:sz="4" w:space="0"/>
              <w:right w:val="nil"/>
            </w:tcBorders>
            <w:shd w:val="clear" w:color="auto" w:fill="auto"/>
            <w:vAlign w:val="center"/>
          </w:tcPr>
          <w:p w14:paraId="028FCBD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c>
          <w:tcPr>
            <w:tcW w:w="4308" w:type="dxa"/>
            <w:tcBorders>
              <w:top w:val="single" w:color="000000" w:sz="4" w:space="0"/>
              <w:left w:val="single" w:color="000000" w:sz="4" w:space="0"/>
              <w:bottom w:val="nil"/>
              <w:right w:val="single" w:color="000000" w:sz="4" w:space="0"/>
            </w:tcBorders>
            <w:shd w:val="clear" w:color="auto" w:fill="auto"/>
            <w:vAlign w:val="center"/>
          </w:tcPr>
          <w:p w14:paraId="7A3F7DE4">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①资产保存完整，计1分，否则不计分；</w:t>
            </w:r>
          </w:p>
        </w:tc>
        <w:tc>
          <w:tcPr>
            <w:tcW w:w="3371" w:type="dxa"/>
            <w:vMerge w:val="restart"/>
            <w:tcBorders>
              <w:top w:val="single" w:color="000000" w:sz="4" w:space="0"/>
              <w:left w:val="nil"/>
              <w:bottom w:val="single" w:color="000000" w:sz="4" w:space="0"/>
              <w:right w:val="nil"/>
            </w:tcBorders>
            <w:shd w:val="clear" w:color="auto" w:fill="auto"/>
            <w:vAlign w:val="center"/>
          </w:tcPr>
          <w:p w14:paraId="0E248BEB">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部门（单位）的资产是否保存完整、使用合规、配置合理、处置规范、收入及时足额上缴，用以反映和考核部门（单位）资产安全运行情况。</w:t>
            </w:r>
          </w:p>
        </w:tc>
        <w:tc>
          <w:tcPr>
            <w:tcW w:w="2052" w:type="dxa"/>
            <w:tcBorders>
              <w:top w:val="single" w:color="000000" w:sz="4" w:space="0"/>
              <w:left w:val="single" w:color="000000" w:sz="4" w:space="0"/>
              <w:bottom w:val="nil"/>
              <w:right w:val="single" w:color="000000" w:sz="4" w:space="0"/>
            </w:tcBorders>
            <w:shd w:val="clear" w:color="auto" w:fill="auto"/>
            <w:vAlign w:val="center"/>
          </w:tcPr>
          <w:p w14:paraId="7D0F52D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资产保存完整。</w:t>
            </w:r>
          </w:p>
        </w:tc>
        <w:tc>
          <w:tcPr>
            <w:tcW w:w="840" w:type="dxa"/>
            <w:vMerge w:val="restart"/>
            <w:tcBorders>
              <w:top w:val="single" w:color="000000" w:sz="4" w:space="0"/>
              <w:left w:val="nil"/>
              <w:bottom w:val="single" w:color="000000" w:sz="4" w:space="0"/>
              <w:right w:val="single" w:color="000000" w:sz="4" w:space="0"/>
            </w:tcBorders>
            <w:shd w:val="clear" w:color="auto" w:fill="auto"/>
            <w:vAlign w:val="center"/>
          </w:tcPr>
          <w:p w14:paraId="243EC99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r>
      <w:tr w14:paraId="5B917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FDD4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007CE">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C611D">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5EB0C20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3B0C6A1B">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②资产配置合理，符合省定标准，计0.5分；</w:t>
            </w:r>
          </w:p>
        </w:tc>
        <w:tc>
          <w:tcPr>
            <w:tcW w:w="3371" w:type="dxa"/>
            <w:vMerge w:val="continue"/>
            <w:tcBorders>
              <w:top w:val="single" w:color="000000" w:sz="4" w:space="0"/>
              <w:left w:val="nil"/>
              <w:bottom w:val="single" w:color="000000" w:sz="4" w:space="0"/>
              <w:right w:val="nil"/>
            </w:tcBorders>
            <w:shd w:val="clear" w:color="auto" w:fill="auto"/>
            <w:vAlign w:val="center"/>
          </w:tcPr>
          <w:p w14:paraId="3DE3177D">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tcBorders>
              <w:top w:val="nil"/>
              <w:left w:val="single" w:color="000000" w:sz="4" w:space="0"/>
              <w:bottom w:val="nil"/>
              <w:right w:val="single" w:color="000000" w:sz="4" w:space="0"/>
            </w:tcBorders>
            <w:shd w:val="clear" w:color="auto" w:fill="auto"/>
            <w:vAlign w:val="center"/>
          </w:tcPr>
          <w:p w14:paraId="37F0828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资产配置合理。</w:t>
            </w:r>
          </w:p>
        </w:tc>
        <w:tc>
          <w:tcPr>
            <w:tcW w:w="840" w:type="dxa"/>
            <w:vMerge w:val="continue"/>
            <w:tcBorders>
              <w:top w:val="single" w:color="000000" w:sz="4" w:space="0"/>
              <w:left w:val="nil"/>
              <w:bottom w:val="single" w:color="000000" w:sz="4" w:space="0"/>
              <w:right w:val="single" w:color="000000" w:sz="4" w:space="0"/>
            </w:tcBorders>
            <w:shd w:val="clear" w:color="auto" w:fill="auto"/>
            <w:vAlign w:val="center"/>
          </w:tcPr>
          <w:p w14:paraId="26F4323D">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082ED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A344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7189A">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4E82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11B062A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nil"/>
              <w:right w:val="single" w:color="000000" w:sz="4" w:space="0"/>
            </w:tcBorders>
            <w:shd w:val="clear" w:color="auto" w:fill="auto"/>
            <w:vAlign w:val="center"/>
          </w:tcPr>
          <w:p w14:paraId="3C99DE96">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③资产处置规范，计0.5分；</w:t>
            </w:r>
          </w:p>
        </w:tc>
        <w:tc>
          <w:tcPr>
            <w:tcW w:w="3371" w:type="dxa"/>
            <w:vMerge w:val="continue"/>
            <w:tcBorders>
              <w:top w:val="single" w:color="000000" w:sz="4" w:space="0"/>
              <w:left w:val="nil"/>
              <w:bottom w:val="single" w:color="000000" w:sz="4" w:space="0"/>
              <w:right w:val="nil"/>
            </w:tcBorders>
            <w:shd w:val="clear" w:color="auto" w:fill="auto"/>
            <w:vAlign w:val="center"/>
          </w:tcPr>
          <w:p w14:paraId="496C9F4D">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tcBorders>
              <w:top w:val="nil"/>
              <w:left w:val="single" w:color="000000" w:sz="4" w:space="0"/>
              <w:bottom w:val="nil"/>
              <w:right w:val="single" w:color="000000" w:sz="4" w:space="0"/>
            </w:tcBorders>
            <w:shd w:val="clear" w:color="auto" w:fill="auto"/>
            <w:vAlign w:val="center"/>
          </w:tcPr>
          <w:p w14:paraId="2194DF3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资产处置程序规范。</w:t>
            </w:r>
          </w:p>
        </w:tc>
        <w:tc>
          <w:tcPr>
            <w:tcW w:w="840" w:type="dxa"/>
            <w:vMerge w:val="continue"/>
            <w:tcBorders>
              <w:top w:val="single" w:color="000000" w:sz="4" w:space="0"/>
              <w:left w:val="nil"/>
              <w:bottom w:val="single" w:color="000000" w:sz="4" w:space="0"/>
              <w:right w:val="single" w:color="000000" w:sz="4" w:space="0"/>
            </w:tcBorders>
            <w:shd w:val="clear" w:color="auto" w:fill="auto"/>
            <w:vAlign w:val="center"/>
          </w:tcPr>
          <w:p w14:paraId="02C9B9C3">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01AF2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6B73C">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E7CC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B508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62FD140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nil"/>
              <w:left w:val="single" w:color="000000" w:sz="4" w:space="0"/>
              <w:bottom w:val="single" w:color="000000" w:sz="4" w:space="0"/>
              <w:right w:val="single" w:color="000000" w:sz="4" w:space="0"/>
            </w:tcBorders>
            <w:shd w:val="clear" w:color="auto" w:fill="auto"/>
            <w:vAlign w:val="center"/>
          </w:tcPr>
          <w:p w14:paraId="486FD179">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④资产账务管理合规，账实相符，计0.5分；</w:t>
            </w:r>
          </w:p>
        </w:tc>
        <w:tc>
          <w:tcPr>
            <w:tcW w:w="3371" w:type="dxa"/>
            <w:vMerge w:val="continue"/>
            <w:tcBorders>
              <w:top w:val="single" w:color="000000" w:sz="4" w:space="0"/>
              <w:left w:val="nil"/>
              <w:bottom w:val="single" w:color="000000" w:sz="4" w:space="0"/>
              <w:right w:val="nil"/>
            </w:tcBorders>
            <w:shd w:val="clear" w:color="auto" w:fill="auto"/>
            <w:vAlign w:val="center"/>
          </w:tcPr>
          <w:p w14:paraId="5F85725C">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tcBorders>
              <w:top w:val="nil"/>
              <w:left w:val="single" w:color="000000" w:sz="4" w:space="0"/>
              <w:bottom w:val="single" w:color="000000" w:sz="4" w:space="0"/>
              <w:right w:val="single" w:color="000000" w:sz="4" w:space="0"/>
            </w:tcBorders>
            <w:shd w:val="clear" w:color="auto" w:fill="auto"/>
            <w:vAlign w:val="center"/>
          </w:tcPr>
          <w:p w14:paraId="4AD270B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资产账实不符，扣0.5分。</w:t>
            </w:r>
          </w:p>
        </w:tc>
        <w:tc>
          <w:tcPr>
            <w:tcW w:w="840" w:type="dxa"/>
            <w:vMerge w:val="continue"/>
            <w:tcBorders>
              <w:top w:val="single" w:color="000000" w:sz="4" w:space="0"/>
              <w:left w:val="nil"/>
              <w:bottom w:val="single" w:color="000000" w:sz="4" w:space="0"/>
              <w:right w:val="single" w:color="000000" w:sz="4" w:space="0"/>
            </w:tcBorders>
            <w:shd w:val="clear" w:color="auto" w:fill="auto"/>
            <w:vAlign w:val="center"/>
          </w:tcPr>
          <w:p w14:paraId="4AD0C6C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2C113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ADC5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0865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2A21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nil"/>
            </w:tcBorders>
            <w:shd w:val="clear" w:color="auto" w:fill="auto"/>
            <w:vAlign w:val="center"/>
          </w:tcPr>
          <w:p w14:paraId="7FBC3C43">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836B1">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⑤资产有偿使用及处置收入及时足额上缴，计0.5分。</w:t>
            </w:r>
          </w:p>
        </w:tc>
        <w:tc>
          <w:tcPr>
            <w:tcW w:w="3371" w:type="dxa"/>
            <w:vMerge w:val="continue"/>
            <w:tcBorders>
              <w:top w:val="single" w:color="000000" w:sz="4" w:space="0"/>
              <w:left w:val="nil"/>
              <w:bottom w:val="single" w:color="000000" w:sz="4" w:space="0"/>
              <w:right w:val="nil"/>
            </w:tcBorders>
            <w:shd w:val="clear" w:color="auto" w:fill="auto"/>
            <w:vAlign w:val="center"/>
          </w:tcPr>
          <w:p w14:paraId="2B90E646">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0223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资产有偿使用及处置收入未及时足额上缴，扣0.5分。</w:t>
            </w:r>
          </w:p>
        </w:tc>
        <w:tc>
          <w:tcPr>
            <w:tcW w:w="840" w:type="dxa"/>
            <w:vMerge w:val="continue"/>
            <w:tcBorders>
              <w:top w:val="single" w:color="000000" w:sz="4" w:space="0"/>
              <w:left w:val="nil"/>
              <w:bottom w:val="single" w:color="000000" w:sz="4" w:space="0"/>
              <w:right w:val="single" w:color="000000" w:sz="4" w:space="0"/>
            </w:tcBorders>
            <w:shd w:val="clear" w:color="auto" w:fill="auto"/>
            <w:vAlign w:val="center"/>
          </w:tcPr>
          <w:p w14:paraId="28C6F40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2BAFA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DE3B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F086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5275B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固定资产利用率</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402FC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w:t>
            </w:r>
          </w:p>
        </w:tc>
        <w:tc>
          <w:tcPr>
            <w:tcW w:w="4308" w:type="dxa"/>
            <w:vMerge w:val="restart"/>
            <w:tcBorders>
              <w:top w:val="nil"/>
              <w:left w:val="single" w:color="000000" w:sz="4" w:space="0"/>
              <w:bottom w:val="single" w:color="000000" w:sz="4" w:space="0"/>
              <w:right w:val="single" w:color="000000" w:sz="4" w:space="0"/>
            </w:tcBorders>
            <w:shd w:val="clear" w:color="auto" w:fill="auto"/>
            <w:vAlign w:val="center"/>
          </w:tcPr>
          <w:p w14:paraId="708FBC63">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利用率为100%，计1分，每减少1%扣0.1分，扣完为止。</w:t>
            </w:r>
          </w:p>
        </w:tc>
        <w:tc>
          <w:tcPr>
            <w:tcW w:w="3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7AA6E2">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固定资产利用率=（实际在用固定资产总额/所有固定资产总额）×100%。</w:t>
            </w:r>
          </w:p>
        </w:tc>
        <w:tc>
          <w:tcPr>
            <w:tcW w:w="2052" w:type="dxa"/>
            <w:vMerge w:val="restart"/>
            <w:tcBorders>
              <w:top w:val="nil"/>
              <w:left w:val="single" w:color="000000" w:sz="4" w:space="0"/>
              <w:bottom w:val="single" w:color="000000" w:sz="4" w:space="0"/>
              <w:right w:val="single" w:color="000000" w:sz="4" w:space="0"/>
            </w:tcBorders>
            <w:shd w:val="clear" w:color="auto" w:fill="auto"/>
            <w:vAlign w:val="center"/>
          </w:tcPr>
          <w:p w14:paraId="45FC1D1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固定资产利用率=（26793.64/26793.64）×100%=100%</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02EAA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w:t>
            </w:r>
          </w:p>
        </w:tc>
      </w:tr>
      <w:tr w14:paraId="62A6E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3FD6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8CD5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4D7E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C6877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4308" w:type="dxa"/>
            <w:vMerge w:val="continue"/>
            <w:tcBorders>
              <w:top w:val="nil"/>
              <w:left w:val="single" w:color="000000" w:sz="4" w:space="0"/>
              <w:bottom w:val="single" w:color="000000" w:sz="4" w:space="0"/>
              <w:right w:val="single" w:color="000000" w:sz="4" w:space="0"/>
            </w:tcBorders>
            <w:shd w:val="clear" w:color="auto" w:fill="auto"/>
            <w:vAlign w:val="center"/>
          </w:tcPr>
          <w:p w14:paraId="772E33CC">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3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A92C14">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vMerge w:val="continue"/>
            <w:tcBorders>
              <w:top w:val="nil"/>
              <w:left w:val="single" w:color="000000" w:sz="4" w:space="0"/>
              <w:bottom w:val="single" w:color="000000" w:sz="4" w:space="0"/>
              <w:right w:val="single" w:color="000000" w:sz="4" w:space="0"/>
            </w:tcBorders>
            <w:shd w:val="clear" w:color="auto" w:fill="auto"/>
            <w:vAlign w:val="center"/>
          </w:tcPr>
          <w:p w14:paraId="1DF22A3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73792">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r>
      <w:tr w14:paraId="12317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F9611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产出30分</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23865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职责履行30分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952D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招生数量完成率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7786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6775">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完成率=（实际培养学生数量/计划培养学生数量）×100%，≥100%计2分，每下降1%扣0.2分，扣完为止。</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4A0C5">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B39C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实际招生人数4527人，计划招生人数4500人，完成率113.18%。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EEED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r>
      <w:tr w14:paraId="09164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42E8D">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3571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20BF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培养全日制学生数量完成率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DE6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AC29A">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完成率=（实际培养学生数量/计划培养学生数量）×100%，≥100%计2分，每下降1%扣0.2分，扣完为止。</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469B5">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884F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实际培养学生数量12291人，计划培养学生数量12200人。完成率=12291/12200*100%=100.75%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3733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r>
      <w:tr w14:paraId="3B0B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263C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DBAE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92CB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毕业生去向落实率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F49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26C11">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毕业生去向落实率≥90%计2分，每下降1%扣0.2分，扣完为止。</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6F8F3">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B5E7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年度毕业生人数4271人，年度毕业生去向落实人数3737人，落实率87.52%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904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1.4</w:t>
            </w:r>
          </w:p>
        </w:tc>
      </w:tr>
      <w:tr w14:paraId="618F5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48C5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7069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36E9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省级及以上竞赛奖项数</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56B9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3</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32591">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60项及以上计3分 ,30-59项计2分，5-29项计1分,少于5项次计0分。</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89242">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auto"/>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C7D9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获奖72项</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C31F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3</w:t>
            </w:r>
          </w:p>
        </w:tc>
      </w:tr>
      <w:tr w14:paraId="635A9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AA36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96468F">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687D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高层次人才引进与培养</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4399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2</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BDEDB">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≥10人计2分，每降低5人扣1分。</w:t>
            </w:r>
          </w:p>
        </w:tc>
        <w:tc>
          <w:tcPr>
            <w:tcW w:w="3371" w:type="dxa"/>
            <w:tcBorders>
              <w:top w:val="single" w:color="000000" w:sz="4" w:space="0"/>
              <w:left w:val="single" w:color="000000" w:sz="4" w:space="0"/>
              <w:bottom w:val="single" w:color="auto" w:sz="4" w:space="0"/>
              <w:right w:val="single" w:color="000000" w:sz="4" w:space="0"/>
            </w:tcBorders>
            <w:shd w:val="clear" w:color="auto" w:fill="auto"/>
            <w:vAlign w:val="center"/>
          </w:tcPr>
          <w:p w14:paraId="31CF6DD1">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auto"/>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4AB4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引进15人</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3DD5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2</w:t>
            </w:r>
          </w:p>
        </w:tc>
      </w:tr>
      <w:tr w14:paraId="552B4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FD5BF4">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96B06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65B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学生毕业设计合格率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20A6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c>
          <w:tcPr>
            <w:tcW w:w="4308" w:type="dxa"/>
            <w:tcBorders>
              <w:top w:val="single" w:color="000000" w:sz="4" w:space="0"/>
              <w:left w:val="single" w:color="000000" w:sz="4" w:space="0"/>
              <w:bottom w:val="single" w:color="000000" w:sz="4" w:space="0"/>
              <w:right w:val="single" w:color="auto" w:sz="4" w:space="0"/>
            </w:tcBorders>
            <w:shd w:val="clear" w:color="auto" w:fill="auto"/>
            <w:vAlign w:val="center"/>
          </w:tcPr>
          <w:p w14:paraId="096A91A8">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合格率≥95%计3分，每下降1%扣0.3分，扣完为止。</w:t>
            </w:r>
          </w:p>
        </w:tc>
        <w:tc>
          <w:tcPr>
            <w:tcW w:w="33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ED3926">
            <w:pPr>
              <w:keepNext w:val="0"/>
              <w:keepLines w:val="0"/>
              <w:pageBreakBefore w:val="0"/>
              <w:kinsoku/>
              <w:wordWrap/>
              <w:overflowPunct/>
              <w:topLinePunct w:val="0"/>
              <w:autoSpaceDE/>
              <w:autoSpaceDN/>
              <w:bidi w:val="0"/>
              <w:adjustRightInd/>
              <w:snapToGrid/>
              <w:spacing w:line="240" w:lineRule="exact"/>
              <w:rPr>
                <w:rFonts w:hint="default" w:ascii="Times New Roman" w:hAnsi="Times New Roman" w:eastAsia="仿宋_GB2312" w:cs="Times New Roman"/>
                <w:i w:val="0"/>
                <w:iCs w:val="0"/>
                <w:color w:val="000000"/>
                <w:sz w:val="16"/>
                <w:szCs w:val="16"/>
                <w:u w:val="none"/>
              </w:rPr>
            </w:pPr>
          </w:p>
        </w:tc>
        <w:tc>
          <w:tcPr>
            <w:tcW w:w="2052" w:type="dxa"/>
            <w:tcBorders>
              <w:top w:val="single" w:color="000000" w:sz="4" w:space="0"/>
              <w:left w:val="single" w:color="auto" w:sz="4" w:space="0"/>
              <w:bottom w:val="single" w:color="000000" w:sz="4" w:space="0"/>
              <w:right w:val="single" w:color="000000" w:sz="4" w:space="0"/>
            </w:tcBorders>
            <w:shd w:val="clear" w:color="auto" w:fill="auto"/>
            <w:vAlign w:val="center"/>
          </w:tcPr>
          <w:p w14:paraId="5BE84BC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98.00%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3464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r>
      <w:tr w14:paraId="5340F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6C974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AF053">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B978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各级教学能力、专业技能竞赛获奖率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CB62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3</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4137D">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获奖率≥85%计3分，每下降1%扣0.3分，扣完为止。</w:t>
            </w:r>
          </w:p>
        </w:tc>
        <w:tc>
          <w:tcPr>
            <w:tcW w:w="3371" w:type="dxa"/>
            <w:tcBorders>
              <w:top w:val="single" w:color="auto" w:sz="4" w:space="0"/>
              <w:left w:val="single" w:color="000000" w:sz="4" w:space="0"/>
              <w:bottom w:val="single" w:color="000000" w:sz="4" w:space="0"/>
              <w:right w:val="single" w:color="000000" w:sz="4" w:space="0"/>
            </w:tcBorders>
            <w:shd w:val="clear" w:color="auto" w:fill="auto"/>
            <w:vAlign w:val="center"/>
          </w:tcPr>
          <w:p w14:paraId="6E15A34F">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FF0000"/>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DCA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FF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88.89%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FAB4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FF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r>
      <w:tr w14:paraId="3C24B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1E920">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857C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02A4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双师素质教师占专任教师比</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533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2</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A2902">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auto"/>
                <w:kern w:val="0"/>
                <w:sz w:val="16"/>
                <w:szCs w:val="16"/>
                <w:u w:val="none"/>
                <w:lang w:val="en-US" w:eastAsia="zh-CN" w:bidi="ar"/>
              </w:rPr>
            </w:pPr>
            <w:r>
              <w:rPr>
                <w:rFonts w:hint="default" w:ascii="Times New Roman" w:hAnsi="Times New Roman" w:eastAsia="仿宋_GB2312" w:cs="Times New Roman"/>
                <w:i w:val="0"/>
                <w:iCs w:val="0"/>
                <w:color w:val="auto"/>
                <w:kern w:val="0"/>
                <w:sz w:val="16"/>
                <w:szCs w:val="16"/>
                <w:u w:val="none"/>
                <w:lang w:val="en-US" w:eastAsia="zh-CN" w:bidi="ar"/>
              </w:rPr>
              <w:t>双师素质教师占专任教师比≥75%计2分，每下降3%扣0.5分，扣完为止。</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08E64">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auto"/>
                <w:kern w:val="0"/>
                <w:sz w:val="16"/>
                <w:szCs w:val="16"/>
                <w:u w:val="none"/>
                <w:lang w:val="en-US" w:eastAsia="zh-CN" w:bidi="ar"/>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152F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kern w:val="0"/>
                <w:sz w:val="16"/>
                <w:szCs w:val="16"/>
                <w:u w:val="none"/>
                <w:lang w:val="en-US" w:eastAsia="zh-CN" w:bidi="ar"/>
              </w:rPr>
            </w:pPr>
            <w:r>
              <w:rPr>
                <w:rFonts w:hint="default" w:ascii="Times New Roman" w:hAnsi="Times New Roman" w:eastAsia="仿宋_GB2312" w:cs="Times New Roman"/>
                <w:i w:val="0"/>
                <w:iCs w:val="0"/>
                <w:color w:val="auto"/>
                <w:kern w:val="0"/>
                <w:sz w:val="16"/>
                <w:szCs w:val="16"/>
                <w:u w:val="none"/>
                <w:lang w:val="en-US" w:eastAsia="zh-CN" w:bidi="ar"/>
              </w:rPr>
              <w:t>68.69%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99B5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kern w:val="0"/>
                <w:sz w:val="16"/>
                <w:szCs w:val="16"/>
                <w:u w:val="none"/>
                <w:lang w:val="en-US" w:eastAsia="zh-CN" w:bidi="ar"/>
              </w:rPr>
            </w:pPr>
            <w:r>
              <w:rPr>
                <w:rFonts w:hint="default" w:ascii="Times New Roman" w:hAnsi="Times New Roman" w:eastAsia="仿宋_GB2312" w:cs="Times New Roman"/>
                <w:i w:val="0"/>
                <w:iCs w:val="0"/>
                <w:color w:val="auto"/>
                <w:kern w:val="0"/>
                <w:sz w:val="16"/>
                <w:szCs w:val="16"/>
                <w:u w:val="none"/>
                <w:lang w:val="en-US" w:eastAsia="zh-CN" w:bidi="ar"/>
              </w:rPr>
              <w:t>0.5</w:t>
            </w:r>
          </w:p>
        </w:tc>
      </w:tr>
      <w:tr w14:paraId="271E8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3A8C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3CDF76">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7C4A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科研成果新增数</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5EEC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0C395">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≥200项计3分，每减少10项扣0.3分，扣完为止。</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18AE2">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2B7A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新增260项</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478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r>
      <w:tr w14:paraId="1021B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2489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D8B11">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1881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市级及以上科研项目立项数</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6CD6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43C19">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≥30项计3分，每减少5项扣1分，扣完为止。</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17A31">
            <w:pPr>
              <w:keepNext w:val="0"/>
              <w:keepLines w:val="0"/>
              <w:pageBreakBefore w:val="0"/>
              <w:kinsoku/>
              <w:wordWrap/>
              <w:overflowPunct/>
              <w:topLinePunct w:val="0"/>
              <w:autoSpaceDE/>
              <w:autoSpaceDN/>
              <w:bidi w:val="0"/>
              <w:adjustRightInd/>
              <w:snapToGrid/>
              <w:spacing w:line="240" w:lineRule="exact"/>
              <w:jc w:val="both"/>
              <w:rPr>
                <w:rFonts w:hint="default" w:ascii="Times New Roman" w:hAnsi="Times New Roman" w:eastAsia="仿宋_GB2312" w:cs="Times New Roman"/>
                <w:i w:val="0"/>
                <w:iCs w:val="0"/>
                <w:color w:val="000000"/>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1BA2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55项</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1802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3</w:t>
            </w:r>
          </w:p>
        </w:tc>
      </w:tr>
      <w:tr w14:paraId="46B30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E24E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46805">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C495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重点工作办结率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3C1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5</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F81FD">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auto"/>
                <w:kern w:val="0"/>
                <w:sz w:val="16"/>
                <w:szCs w:val="16"/>
                <w:u w:val="none"/>
                <w:lang w:val="en-US" w:eastAsia="zh-CN" w:bidi="ar"/>
              </w:rPr>
            </w:pPr>
            <w:r>
              <w:rPr>
                <w:rFonts w:hint="default" w:ascii="Times New Roman" w:hAnsi="Times New Roman" w:eastAsia="仿宋_GB2312" w:cs="Times New Roman"/>
                <w:i w:val="0"/>
                <w:iCs w:val="0"/>
                <w:color w:val="auto"/>
                <w:kern w:val="0"/>
                <w:sz w:val="16"/>
                <w:szCs w:val="16"/>
                <w:u w:val="none"/>
                <w:lang w:val="en-US" w:eastAsia="zh-CN" w:bidi="ar"/>
              </w:rPr>
              <w:t>重点工作办结率=（重点工作实际完成数/交办或下达数）×100%。办结率＝100%计5分，每下降2%扣1分，扣完为止。</w:t>
            </w:r>
          </w:p>
          <w:p w14:paraId="4E0DDED2">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重点工作：师生在校安全保卫及后勤服务工作、教学与科学研究工作、疫情防控工作、招生和毕业生就业创业指导工作、第三轮全员聘任、对口帮扶乡村振兴工作、高水平楚怡专业群建设工作、纸箱包装厂厂房改造、校园道路提质、学生公寓改造及新建公寓配套周边工程等。</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22369">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部门年度重点工作实际完成数与交办或下达数的比率，用以反映部门对重点工作的办理落实程度。</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777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kern w:val="2"/>
                <w:sz w:val="16"/>
                <w:szCs w:val="16"/>
                <w:u w:val="none"/>
                <w:lang w:val="en-US" w:eastAsia="zh-CN" w:bidi="ar-SA"/>
              </w:rPr>
            </w:pPr>
            <w:r>
              <w:rPr>
                <w:rFonts w:hint="default" w:ascii="Times New Roman" w:hAnsi="Times New Roman" w:eastAsia="仿宋_GB2312" w:cs="Times New Roman"/>
                <w:i w:val="0"/>
                <w:iCs w:val="0"/>
                <w:color w:val="000000"/>
                <w:kern w:val="0"/>
                <w:sz w:val="16"/>
                <w:szCs w:val="16"/>
                <w:u w:val="none"/>
                <w:lang w:val="en-US" w:eastAsia="zh-CN" w:bidi="ar"/>
              </w:rPr>
              <w:t>精品课程建设、教学资源库建设等教学与科学研究工作推进较慢；专业技能竞赛奖项数、毕业生本地就业率未达目标；纸箱包装厂厂房改造、校园道路提质、学生公寓改造及家具更换等工程进度缓慢；扣3分</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5E43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FF0000"/>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2</w:t>
            </w:r>
          </w:p>
        </w:tc>
      </w:tr>
      <w:tr w14:paraId="74752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E9F3A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效果30分</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00C88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履职效益30分</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08A35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经济效益</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A7CB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5</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1A31C">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社会服务创收利润≥300万元计5分，每减少50万元扣1分，扣完为止。</w:t>
            </w:r>
          </w:p>
        </w:tc>
        <w:tc>
          <w:tcPr>
            <w:tcW w:w="3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F4A3E6">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部门履行职责对经济发展所带来的直接或间接影响。</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F211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2022年度创收收入534.17万元。</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13A2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5</w:t>
            </w:r>
          </w:p>
        </w:tc>
      </w:tr>
      <w:tr w14:paraId="742F2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F17DB">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FA67B">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F39E27">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B53E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5</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3266C">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上缴非税收入≥5000万元计5分，每减少100万元扣1分，扣完为止。</w:t>
            </w:r>
          </w:p>
        </w:tc>
        <w:tc>
          <w:tcPr>
            <w:tcW w:w="3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E85B9">
            <w:pPr>
              <w:keepNext w:val="0"/>
              <w:keepLines w:val="0"/>
              <w:pageBreakBefore w:val="0"/>
              <w:kinsoku/>
              <w:wordWrap/>
              <w:overflowPunct/>
              <w:topLinePunct w:val="0"/>
              <w:autoSpaceDE/>
              <w:autoSpaceDN/>
              <w:bidi w:val="0"/>
              <w:adjustRightInd/>
              <w:snapToGrid/>
              <w:spacing w:line="240" w:lineRule="exact"/>
              <w:jc w:val="left"/>
              <w:rPr>
                <w:rFonts w:hint="default" w:ascii="Times New Roman" w:hAnsi="Times New Roman" w:eastAsia="仿宋_GB2312" w:cs="Times New Roman"/>
                <w:i w:val="0"/>
                <w:iCs w:val="0"/>
                <w:color w:val="000000"/>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3AFF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2022年度上缴非税收入7088.84万元。</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FC7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16"/>
                <w:szCs w:val="16"/>
                <w:u w:val="none"/>
              </w:rPr>
            </w:pPr>
            <w:r>
              <w:rPr>
                <w:rFonts w:hint="default" w:ascii="Times New Roman" w:hAnsi="Times New Roman" w:eastAsia="仿宋_GB2312" w:cs="Times New Roman"/>
                <w:i w:val="0"/>
                <w:iCs w:val="0"/>
                <w:color w:val="000000"/>
                <w:kern w:val="0"/>
                <w:sz w:val="16"/>
                <w:szCs w:val="16"/>
                <w:u w:val="none"/>
                <w:lang w:val="en-US" w:eastAsia="zh-CN" w:bidi="ar"/>
              </w:rPr>
              <w:t>5</w:t>
            </w:r>
          </w:p>
        </w:tc>
      </w:tr>
      <w:tr w14:paraId="04564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B2A58">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624CD">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仿宋_GB2312" w:cs="Times New Roman"/>
                <w:i w:val="0"/>
                <w:iCs w:val="0"/>
                <w:color w:val="000000"/>
                <w:sz w:val="16"/>
                <w:szCs w:val="16"/>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1C407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社会效益</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C37D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5</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E2067">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承接社会服务项目数≥20项计5分，每减少1项扣0.5分，扣完为止。</w:t>
            </w:r>
          </w:p>
        </w:tc>
        <w:tc>
          <w:tcPr>
            <w:tcW w:w="3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9176B8">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部门履行职责对社会发展所带来的直接或间接影响。</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175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25项</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CFD1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auto"/>
                <w:sz w:val="16"/>
                <w:szCs w:val="16"/>
                <w:u w:val="none"/>
              </w:rPr>
            </w:pPr>
            <w:r>
              <w:rPr>
                <w:rFonts w:hint="default" w:ascii="Times New Roman" w:hAnsi="Times New Roman" w:eastAsia="仿宋_GB2312" w:cs="Times New Roman"/>
                <w:i w:val="0"/>
                <w:iCs w:val="0"/>
                <w:color w:val="auto"/>
                <w:kern w:val="0"/>
                <w:sz w:val="16"/>
                <w:szCs w:val="16"/>
                <w:u w:val="none"/>
                <w:lang w:val="en-US" w:eastAsia="zh-CN" w:bidi="ar"/>
              </w:rPr>
              <w:t>5</w:t>
            </w:r>
          </w:p>
        </w:tc>
      </w:tr>
      <w:tr w14:paraId="304C0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211DB">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B6188">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1BF50">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iCs w:val="0"/>
                <w:color w:val="auto"/>
                <w:sz w:val="16"/>
                <w:szCs w:val="16"/>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25FF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auto"/>
                <w:sz w:val="16"/>
                <w:szCs w:val="16"/>
                <w:u w:val="none"/>
              </w:rPr>
            </w:pPr>
            <w:r>
              <w:rPr>
                <w:rFonts w:hint="eastAsia" w:ascii="仿宋" w:hAnsi="仿宋" w:eastAsia="仿宋" w:cs="仿宋"/>
                <w:i w:val="0"/>
                <w:iCs w:val="0"/>
                <w:color w:val="auto"/>
                <w:kern w:val="0"/>
                <w:sz w:val="16"/>
                <w:szCs w:val="16"/>
                <w:u w:val="none"/>
                <w:lang w:val="en-US" w:eastAsia="zh-CN" w:bidi="ar"/>
              </w:rPr>
              <w:t>5</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473A5">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auto"/>
                <w:sz w:val="16"/>
                <w:szCs w:val="16"/>
                <w:u w:val="none"/>
              </w:rPr>
            </w:pPr>
            <w:r>
              <w:rPr>
                <w:rFonts w:hint="eastAsia" w:ascii="仿宋" w:hAnsi="仿宋" w:eastAsia="仿宋" w:cs="仿宋"/>
                <w:i w:val="0"/>
                <w:iCs w:val="0"/>
                <w:color w:val="auto"/>
                <w:kern w:val="0"/>
                <w:sz w:val="16"/>
                <w:szCs w:val="16"/>
                <w:u w:val="none"/>
                <w:lang w:val="en-US" w:eastAsia="zh-CN" w:bidi="ar"/>
              </w:rPr>
              <w:t>毕业生本地就业创业率（服务地方经济）≥50%计5分，每减少5%扣1分，扣完为止。</w:t>
            </w:r>
          </w:p>
        </w:tc>
        <w:tc>
          <w:tcPr>
            <w:tcW w:w="3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FE58E">
            <w:pPr>
              <w:keepNext w:val="0"/>
              <w:keepLines w:val="0"/>
              <w:pageBreakBefore w:val="0"/>
              <w:kinsoku/>
              <w:wordWrap/>
              <w:overflowPunct/>
              <w:topLinePunct w:val="0"/>
              <w:autoSpaceDE/>
              <w:autoSpaceDN/>
              <w:bidi w:val="0"/>
              <w:adjustRightInd/>
              <w:snapToGrid/>
              <w:spacing w:line="240" w:lineRule="exact"/>
              <w:jc w:val="left"/>
              <w:rPr>
                <w:rFonts w:hint="eastAsia" w:ascii="仿宋" w:hAnsi="仿宋" w:eastAsia="仿宋" w:cs="仿宋"/>
                <w:i w:val="0"/>
                <w:iCs w:val="0"/>
                <w:color w:val="auto"/>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0832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auto"/>
                <w:sz w:val="16"/>
                <w:szCs w:val="16"/>
                <w:u w:val="none"/>
              </w:rPr>
            </w:pPr>
            <w:r>
              <w:rPr>
                <w:rFonts w:hint="eastAsia" w:ascii="仿宋" w:hAnsi="仿宋" w:eastAsia="仿宋" w:cs="仿宋"/>
                <w:i w:val="0"/>
                <w:iCs w:val="0"/>
                <w:color w:val="auto"/>
                <w:kern w:val="0"/>
                <w:sz w:val="16"/>
                <w:szCs w:val="16"/>
                <w:u w:val="none"/>
                <w:lang w:val="en-US" w:eastAsia="zh-CN" w:bidi="ar"/>
              </w:rPr>
              <w:t>44.74%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366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auto"/>
                <w:sz w:val="16"/>
                <w:szCs w:val="16"/>
                <w:u w:val="none"/>
              </w:rPr>
            </w:pPr>
            <w:r>
              <w:rPr>
                <w:rFonts w:hint="eastAsia" w:ascii="仿宋" w:hAnsi="仿宋" w:eastAsia="仿宋" w:cs="仿宋"/>
                <w:i w:val="0"/>
                <w:iCs w:val="0"/>
                <w:color w:val="auto"/>
                <w:kern w:val="0"/>
                <w:sz w:val="16"/>
                <w:szCs w:val="16"/>
                <w:u w:val="none"/>
                <w:lang w:val="en-US" w:eastAsia="zh-CN" w:bidi="ar"/>
              </w:rPr>
              <w:t>3.5</w:t>
            </w:r>
          </w:p>
        </w:tc>
      </w:tr>
      <w:tr w14:paraId="37DF0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C10D8">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04C50">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iCs w:val="0"/>
                <w:color w:val="000000"/>
                <w:sz w:val="16"/>
                <w:szCs w:val="16"/>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19B2A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社会公众或服务对象满意度</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33B1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5</w:t>
            </w:r>
          </w:p>
        </w:tc>
        <w:tc>
          <w:tcPr>
            <w:tcW w:w="4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008648">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90%（含）以上计5分，每降低1%扣0.5分,不足1%按1%计，扣完为止。</w:t>
            </w: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85FD9">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教师满意度调查</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D0C9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84.10%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F4DE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2</w:t>
            </w:r>
          </w:p>
        </w:tc>
      </w:tr>
      <w:tr w14:paraId="470AD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196C22">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iCs w:val="0"/>
                <w:color w:val="000000"/>
                <w:sz w:val="16"/>
                <w:szCs w:val="16"/>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6837C">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iCs w:val="0"/>
                <w:color w:val="000000"/>
                <w:sz w:val="16"/>
                <w:szCs w:val="16"/>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C8FB3">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iCs w:val="0"/>
                <w:color w:val="000000"/>
                <w:sz w:val="16"/>
                <w:szCs w:val="16"/>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9B5A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5</w:t>
            </w:r>
          </w:p>
        </w:tc>
        <w:tc>
          <w:tcPr>
            <w:tcW w:w="4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E9C15">
            <w:pPr>
              <w:keepNext w:val="0"/>
              <w:keepLines w:val="0"/>
              <w:pageBreakBefore w:val="0"/>
              <w:kinsoku/>
              <w:wordWrap/>
              <w:overflowPunct/>
              <w:topLinePunct w:val="0"/>
              <w:autoSpaceDE/>
              <w:autoSpaceDN/>
              <w:bidi w:val="0"/>
              <w:adjustRightInd/>
              <w:snapToGrid/>
              <w:spacing w:line="240" w:lineRule="exact"/>
              <w:jc w:val="both"/>
              <w:rPr>
                <w:rFonts w:hint="eastAsia" w:ascii="仿宋" w:hAnsi="仿宋" w:eastAsia="仿宋" w:cs="仿宋"/>
                <w:i w:val="0"/>
                <w:iCs w:val="0"/>
                <w:color w:val="000000"/>
                <w:sz w:val="16"/>
                <w:szCs w:val="16"/>
                <w:u w:val="none"/>
              </w:rPr>
            </w:pPr>
          </w:p>
        </w:tc>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7C9B1">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学生满意度调查</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43D1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85.49%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4F8B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2.5</w:t>
            </w:r>
          </w:p>
        </w:tc>
      </w:tr>
      <w:tr w14:paraId="679FD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09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78BE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总计</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08C11">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100</w:t>
            </w:r>
          </w:p>
        </w:tc>
        <w:tc>
          <w:tcPr>
            <w:tcW w:w="4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F3457">
            <w:pPr>
              <w:keepNext w:val="0"/>
              <w:keepLines w:val="0"/>
              <w:pageBreakBefore w:val="0"/>
              <w:kinsoku/>
              <w:wordWrap/>
              <w:overflowPunct/>
              <w:topLinePunct w:val="0"/>
              <w:autoSpaceDE/>
              <w:autoSpaceDN/>
              <w:bidi w:val="0"/>
              <w:adjustRightInd/>
              <w:snapToGrid/>
              <w:spacing w:line="240" w:lineRule="exact"/>
              <w:jc w:val="both"/>
              <w:rPr>
                <w:rFonts w:hint="eastAsia" w:ascii="仿宋" w:hAnsi="仿宋" w:eastAsia="仿宋" w:cs="仿宋"/>
                <w:i w:val="0"/>
                <w:iCs w:val="0"/>
                <w:color w:val="000000"/>
                <w:sz w:val="16"/>
                <w:szCs w:val="16"/>
                <w:u w:val="none"/>
              </w:rPr>
            </w:pPr>
          </w:p>
        </w:tc>
        <w:tc>
          <w:tcPr>
            <w:tcW w:w="33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5912C">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iCs w:val="0"/>
                <w:color w:val="000000"/>
                <w:sz w:val="16"/>
                <w:szCs w:val="16"/>
                <w:u w:val="none"/>
              </w:rPr>
            </w:pPr>
          </w:p>
        </w:tc>
        <w:tc>
          <w:tcPr>
            <w:tcW w:w="20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D4FD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16"/>
                <w:szCs w:val="16"/>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6631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 xml:space="preserve">81.8 </w:t>
            </w:r>
          </w:p>
        </w:tc>
      </w:tr>
    </w:tbl>
    <w:p w14:paraId="03EC457E">
      <w:pPr>
        <w:rPr>
          <w:rFonts w:ascii="方正小标宋简体" w:eastAsia="方正小标宋简体"/>
          <w:sz w:val="28"/>
        </w:rPr>
      </w:pPr>
    </w:p>
    <w:sectPr>
      <w:footerReference r:id="rId6" w:type="default"/>
      <w:pgSz w:w="16838" w:h="11906" w:orient="landscape"/>
      <w:pgMar w:top="1587" w:right="1440" w:bottom="1587" w:left="1440" w:header="851" w:footer="992" w:gutter="0"/>
      <w:pgBorders>
        <w:top w:val="none" w:sz="0" w:space="0"/>
        <w:left w:val="none" w:sz="0" w:space="0"/>
        <w:bottom w:val="none" w:sz="0" w:space="0"/>
        <w:right w:val="none" w:sz="0" w:space="0"/>
      </w:pgBorders>
      <w:pgNumType w:fmt="numberInDash"/>
      <w:cols w:space="0" w:num="1"/>
      <w:rtlGutter w:val="0"/>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AA9CFC-3A3B-4FC8-BEE2-AF07B8C778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embedRegular r:id="rId2" w:fontKey="{1A6C529A-ADEE-4EDA-858F-DF74B3EA18F0}"/>
  </w:font>
  <w:font w:name="仿宋">
    <w:panose1 w:val="02010609060101010101"/>
    <w:charset w:val="86"/>
    <w:family w:val="modern"/>
    <w:pitch w:val="default"/>
    <w:sig w:usb0="800002BF" w:usb1="38CF7CFA" w:usb2="00000016" w:usb3="00000000" w:csb0="00040001" w:csb1="00000000"/>
    <w:embedRegular r:id="rId3" w:fontKey="{E410B4D8-B69E-4EBB-8353-C8C81571DBB8}"/>
  </w:font>
  <w:font w:name="仿宋_GB2312">
    <w:panose1 w:val="02010609030101010101"/>
    <w:charset w:val="86"/>
    <w:family w:val="modern"/>
    <w:pitch w:val="default"/>
    <w:sig w:usb0="00000001" w:usb1="080E0000" w:usb2="00000000" w:usb3="00000000" w:csb0="00040000" w:csb1="00000000"/>
    <w:embedRegular r:id="rId4" w:fontKey="{F4592F4A-E2DD-4586-84F7-0A2C87EB7DB4}"/>
  </w:font>
  <w:font w:name="方正书宋_GBK">
    <w:altName w:val="宋体"/>
    <w:panose1 w:val="00000000000000000000"/>
    <w:charset w:val="86"/>
    <w:family w:val="auto"/>
    <w:pitch w:val="default"/>
    <w:sig w:usb0="00000000" w:usb1="0000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embedRegular r:id="rId5" w:fontKey="{ECAA31E3-DA08-4727-9071-D3D6586A0949}"/>
  </w:font>
  <w:font w:name="楷体">
    <w:panose1 w:val="02010609060101010101"/>
    <w:charset w:val="86"/>
    <w:family w:val="auto"/>
    <w:pitch w:val="default"/>
    <w:sig w:usb0="800002BF" w:usb1="38CF7CFA" w:usb2="00000016" w:usb3="00000000" w:csb0="00040001" w:csb1="00000000"/>
    <w:embedRegular r:id="rId6" w:fontKey="{26EC6BD2-6EA3-4D75-AE90-9B60ADD270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1835F">
    <w:pPr>
      <w:pStyle w:val="12"/>
      <w:jc w:val="right"/>
    </w:pPr>
  </w:p>
  <w:p w14:paraId="337F18D6">
    <w:pPr>
      <w:pStyle w:val="12"/>
      <w:tabs>
        <w:tab w:val="center" w:pos="4550"/>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DBD24">
    <w:pPr>
      <w:pStyle w:val="12"/>
      <w:tabs>
        <w:tab w:val="center" w:pos="4550"/>
        <w:tab w:val="clear" w:pos="4153"/>
        <w:tab w:val="clear" w:pos="8306"/>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E21B2E">
                          <w:pPr>
                            <w:pStyle w:val="12"/>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CE21B2E">
                    <w:pPr>
                      <w:pStyle w:val="12"/>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E960F">
    <w:pPr>
      <w:pStyle w:val="12"/>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27635" cy="4311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7635" cy="431165"/>
                      </a:xfrm>
                      <a:prstGeom prst="rect">
                        <a:avLst/>
                      </a:prstGeom>
                      <a:noFill/>
                      <a:ln w="6350">
                        <a:noFill/>
                      </a:ln>
                      <a:effectLst/>
                    </wps:spPr>
                    <wps:txbx>
                      <w:txbxContent>
                        <w:sdt>
                          <w:sdtPr>
                            <w:id w:val="2121252595"/>
                          </w:sdtPr>
                          <w:sdtContent>
                            <w:p w14:paraId="381155B9">
                              <w:pPr>
                                <w:pStyle w:val="12"/>
                                <w:jc w:val="right"/>
                              </w:pPr>
                              <w:r>
                                <w:fldChar w:fldCharType="begin"/>
                              </w:r>
                              <w:r>
                                <w:instrText xml:space="preserve">PAGE   \* MERGEFORMAT</w:instrText>
                              </w:r>
                              <w:r>
                                <w:fldChar w:fldCharType="separate"/>
                              </w:r>
                              <w:r>
                                <w:rPr>
                                  <w:lang w:val="zh-CN"/>
                                </w:rPr>
                                <w:t>16</w:t>
                              </w:r>
                              <w:r>
                                <w:rPr>
                                  <w:lang w:val="zh-CN"/>
                                </w:rPr>
                                <w:fldChar w:fldCharType="end"/>
                              </w:r>
                            </w:p>
                          </w:sdtContent>
                        </w:sdt>
                        <w:p w14:paraId="04D36E0E"/>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33.95pt;width:10.05pt;mso-position-horizontal:center;mso-position-horizontal-relative:margin;mso-wrap-style:none;z-index:251659264;mso-width-relative:page;mso-height-relative:page;" filled="f" stroked="f" coordsize="21600,21600" o:gfxdata="UEsDBAoAAAAAAIdO4kAAAAAAAAAAAAAAAAAEAAAAZHJzL1BLAwQUAAAACACHTuJAn+sGutMAAAAD&#10;AQAADwAAAGRycy9kb3ducmV2LnhtbE2PwU7DMBBE70j9B2srcaN2Cio0xKnUinBEouHA0Y23Sai9&#10;jmw3DX+P4UIvK41mNPO22EzWsBF96B1JyBYCGFLjdE+thI+6unsCFqIirYwjlPCNATbl7KZQuXYX&#10;esdxH1uWSijkSkIX45BzHpoOrQoLNyAl7+i8VTFJ33Lt1SWVW8OXQqy4VT2lhU4NuOuwOe3PVsKu&#10;qms/YvDmE1+r+6+37QO+TFLezjPxDCziFP/D8Iuf0KFMTAd3Jh2YkZAeiX83eUuRATtIWD2ugZcF&#10;v2YvfwBQSwMEFAAAAAgAh07iQFcn3X01AgAAYQQAAA4AAABkcnMvZTJvRG9jLnhtbK1UwY7TMBC9&#10;I/EPlu80bZctqGq6KlsVIVXsSgVxdh2niWR7LHvapHwA/AEnLnvnu/odjJ2mixYOe+DijD3jN35v&#10;ZjK7aY1mB+VDDTbno8GQM2UlFLXd5fzzp9Wrt5wFFLYQGqzK+VEFfjN/+WLWuKkaQwW6UJ4RiA3T&#10;xuW8QnTTLAuyUkaEAThlyVmCNwJp63dZ4UVD6EZn4+FwkjXgC+dBqhDodNk5+RnRPwcQyrKWagly&#10;b5TFDtUrLZAohap2gc/Ta8tSSbwry6CQ6ZwTU0wrJSF7G9dsPhPTnReuquX5CeI5T3jCyYjaUtIL&#10;1FKgYHtf/wVlaukhQIkDCSbriCRFiMVo+ESbTSWcSlxI6uAuoof/Bys/Hu49q4ucjzmzwlDBTz++&#10;n37+Oj18Y+MoT+PClKI2juKwfQctNU1/Hugwsm5Lb+KX+DDyk7jHi7iqRSbjpfGbydU1Z5Jcr69G&#10;o8l1RMkeLzsf8L0Cw6KRc0+1S5KKwzpgF9qHxFwWVrXWqX7asibnhD5MFy4eAtc2xqrUCWeYSKh7&#10;eLSw3bZnllsojkTSQ9clwclVTU9Zi4D3wlNbEC8aHLyjpdRAKeFscVaB//qv8xhP1SIvZw21Wc4t&#10;TRVn+oOlKsaO7A3fG9vesHtzC9S3IxpIJ5NJFzzq3iw9mC80TYuYg1zCSsqUc+zNW+xanaZRqsUi&#10;BVHfOYFru3EyQkd5glvskeRMKkdROiWoOnFDnZfqdJ6S2Np/7lPU459h/h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f6wa60wAAAAMBAAAPAAAAAAAAAAEAIAAAACIAAABkcnMvZG93bnJldi54bWxQ&#10;SwECFAAUAAAACACHTuJAVyfdfTUCAABhBAAADgAAAAAAAAABACAAAAAiAQAAZHJzL2Uyb0RvYy54&#10;bWxQSwUGAAAAAAYABgBZAQAAyQUAAAAA&#10;">
              <v:fill on="f" focussize="0,0"/>
              <v:stroke on="f" weight="0.5pt"/>
              <v:imagedata o:title=""/>
              <o:lock v:ext="edit" aspectratio="f"/>
              <v:textbox inset="0mm,0mm,0mm,0mm" style="mso-fit-shape-to-text:t;">
                <w:txbxContent>
                  <w:sdt>
                    <w:sdtPr>
                      <w:id w:val="2121252595"/>
                    </w:sdtPr>
                    <w:sdtContent>
                      <w:p w14:paraId="381155B9">
                        <w:pPr>
                          <w:pStyle w:val="12"/>
                          <w:jc w:val="right"/>
                        </w:pPr>
                        <w:r>
                          <w:fldChar w:fldCharType="begin"/>
                        </w:r>
                        <w:r>
                          <w:instrText xml:space="preserve">PAGE   \* MERGEFORMAT</w:instrText>
                        </w:r>
                        <w:r>
                          <w:fldChar w:fldCharType="separate"/>
                        </w:r>
                        <w:r>
                          <w:rPr>
                            <w:lang w:val="zh-CN"/>
                          </w:rPr>
                          <w:t>16</w:t>
                        </w:r>
                        <w:r>
                          <w:rPr>
                            <w:lang w:val="zh-CN"/>
                          </w:rPr>
                          <w:fldChar w:fldCharType="end"/>
                        </w:r>
                      </w:p>
                    </w:sdtContent>
                  </w:sdt>
                  <w:p w14:paraId="04D36E0E"/>
                </w:txbxContent>
              </v:textbox>
            </v:shape>
          </w:pict>
        </mc:Fallback>
      </mc:AlternateContent>
    </w:r>
  </w:p>
  <w:p w14:paraId="0E559BE2">
    <w:pPr>
      <w:pStyle w:val="12"/>
      <w:tabs>
        <w:tab w:val="center" w:pos="4550"/>
        <w:tab w:val="clear" w:pos="4153"/>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B9B0A">
    <w:pPr>
      <w:pStyle w:val="1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TrueTypeFonts/>
  <w:saveSubsetFonts/>
  <w:bordersDoNotSurroundHeader w:val="0"/>
  <w:bordersDoNotSurroundFooter w:val="0"/>
  <w:documentProtection w:enforcement="0"/>
  <w:defaultTabStop w:val="420"/>
  <w:drawingGridVerticalSpacing w:val="161"/>
  <w:displayHorizontalDrawingGridEvery w:val="1"/>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hYTFkNWVlZTcwNTA3NjYwODNiMjczYTE5Y2VmMmUifQ=="/>
  </w:docVars>
  <w:rsids>
    <w:rsidRoot w:val="00172A27"/>
    <w:rsid w:val="0000091C"/>
    <w:rsid w:val="000142A6"/>
    <w:rsid w:val="000162B8"/>
    <w:rsid w:val="00016C83"/>
    <w:rsid w:val="0002034F"/>
    <w:rsid w:val="00027A8A"/>
    <w:rsid w:val="000325C2"/>
    <w:rsid w:val="00032E4D"/>
    <w:rsid w:val="0003374C"/>
    <w:rsid w:val="0004250E"/>
    <w:rsid w:val="00046C45"/>
    <w:rsid w:val="00052970"/>
    <w:rsid w:val="0005702E"/>
    <w:rsid w:val="0006207D"/>
    <w:rsid w:val="00062EFE"/>
    <w:rsid w:val="0006352D"/>
    <w:rsid w:val="00063D61"/>
    <w:rsid w:val="000666F1"/>
    <w:rsid w:val="00071C86"/>
    <w:rsid w:val="00082A4C"/>
    <w:rsid w:val="00082C02"/>
    <w:rsid w:val="00084888"/>
    <w:rsid w:val="0009103B"/>
    <w:rsid w:val="00093124"/>
    <w:rsid w:val="000A0D60"/>
    <w:rsid w:val="000A3688"/>
    <w:rsid w:val="000A717E"/>
    <w:rsid w:val="000A72CD"/>
    <w:rsid w:val="000B5DF6"/>
    <w:rsid w:val="000B7F15"/>
    <w:rsid w:val="000C3812"/>
    <w:rsid w:val="000C476E"/>
    <w:rsid w:val="000C6FE5"/>
    <w:rsid w:val="000D0F52"/>
    <w:rsid w:val="000D65FE"/>
    <w:rsid w:val="000D7378"/>
    <w:rsid w:val="000D78BA"/>
    <w:rsid w:val="000E1649"/>
    <w:rsid w:val="000E3A1F"/>
    <w:rsid w:val="000F03C8"/>
    <w:rsid w:val="000F12B8"/>
    <w:rsid w:val="000F1640"/>
    <w:rsid w:val="000F3BEA"/>
    <w:rsid w:val="000F4C3C"/>
    <w:rsid w:val="000F53BD"/>
    <w:rsid w:val="000F75AE"/>
    <w:rsid w:val="00103FBE"/>
    <w:rsid w:val="001053B9"/>
    <w:rsid w:val="00106AA9"/>
    <w:rsid w:val="001078E1"/>
    <w:rsid w:val="001225C7"/>
    <w:rsid w:val="00127125"/>
    <w:rsid w:val="00133592"/>
    <w:rsid w:val="00134F91"/>
    <w:rsid w:val="00141283"/>
    <w:rsid w:val="0014380B"/>
    <w:rsid w:val="00147A71"/>
    <w:rsid w:val="001532CD"/>
    <w:rsid w:val="001547BB"/>
    <w:rsid w:val="0015573F"/>
    <w:rsid w:val="001664DB"/>
    <w:rsid w:val="001708E8"/>
    <w:rsid w:val="0017090A"/>
    <w:rsid w:val="001713F0"/>
    <w:rsid w:val="00172A27"/>
    <w:rsid w:val="00192248"/>
    <w:rsid w:val="001A7A5B"/>
    <w:rsid w:val="001A7F8D"/>
    <w:rsid w:val="001B1E3C"/>
    <w:rsid w:val="001B29AF"/>
    <w:rsid w:val="001C44E5"/>
    <w:rsid w:val="001C7E87"/>
    <w:rsid w:val="001D180B"/>
    <w:rsid w:val="001D7649"/>
    <w:rsid w:val="001E195D"/>
    <w:rsid w:val="001E2D8A"/>
    <w:rsid w:val="001E4252"/>
    <w:rsid w:val="001E7240"/>
    <w:rsid w:val="001E7546"/>
    <w:rsid w:val="001E779C"/>
    <w:rsid w:val="001F1594"/>
    <w:rsid w:val="001F233B"/>
    <w:rsid w:val="00201FE2"/>
    <w:rsid w:val="002029D2"/>
    <w:rsid w:val="002042DB"/>
    <w:rsid w:val="0020434D"/>
    <w:rsid w:val="00204406"/>
    <w:rsid w:val="00204C9D"/>
    <w:rsid w:val="002053A9"/>
    <w:rsid w:val="00210D9C"/>
    <w:rsid w:val="00211A78"/>
    <w:rsid w:val="00217C87"/>
    <w:rsid w:val="002240B4"/>
    <w:rsid w:val="00226A66"/>
    <w:rsid w:val="0023118A"/>
    <w:rsid w:val="00231480"/>
    <w:rsid w:val="00232381"/>
    <w:rsid w:val="00233F23"/>
    <w:rsid w:val="00237AB0"/>
    <w:rsid w:val="00245272"/>
    <w:rsid w:val="0025295D"/>
    <w:rsid w:val="00263284"/>
    <w:rsid w:val="00265E38"/>
    <w:rsid w:val="00275C35"/>
    <w:rsid w:val="00275F34"/>
    <w:rsid w:val="00276C69"/>
    <w:rsid w:val="00281AE8"/>
    <w:rsid w:val="00282816"/>
    <w:rsid w:val="00287391"/>
    <w:rsid w:val="002A2A4E"/>
    <w:rsid w:val="002A3AAE"/>
    <w:rsid w:val="002A60B1"/>
    <w:rsid w:val="002B08DE"/>
    <w:rsid w:val="002B372E"/>
    <w:rsid w:val="002C2702"/>
    <w:rsid w:val="002C2A88"/>
    <w:rsid w:val="002D0D9A"/>
    <w:rsid w:val="002D2A68"/>
    <w:rsid w:val="002F0906"/>
    <w:rsid w:val="002F34FF"/>
    <w:rsid w:val="002F4241"/>
    <w:rsid w:val="002F66AD"/>
    <w:rsid w:val="0030048A"/>
    <w:rsid w:val="00302797"/>
    <w:rsid w:val="00303D98"/>
    <w:rsid w:val="003067FB"/>
    <w:rsid w:val="0031182C"/>
    <w:rsid w:val="00313599"/>
    <w:rsid w:val="00316622"/>
    <w:rsid w:val="00317889"/>
    <w:rsid w:val="00317C56"/>
    <w:rsid w:val="003226C4"/>
    <w:rsid w:val="0032355F"/>
    <w:rsid w:val="00327B2C"/>
    <w:rsid w:val="00340FD2"/>
    <w:rsid w:val="003447E9"/>
    <w:rsid w:val="00345117"/>
    <w:rsid w:val="00352008"/>
    <w:rsid w:val="00352E9F"/>
    <w:rsid w:val="00353D14"/>
    <w:rsid w:val="00354339"/>
    <w:rsid w:val="00355062"/>
    <w:rsid w:val="00357752"/>
    <w:rsid w:val="00362493"/>
    <w:rsid w:val="003637EA"/>
    <w:rsid w:val="00363F9C"/>
    <w:rsid w:val="003719C7"/>
    <w:rsid w:val="00376BFD"/>
    <w:rsid w:val="0038589F"/>
    <w:rsid w:val="00396459"/>
    <w:rsid w:val="003A3A18"/>
    <w:rsid w:val="003A40BF"/>
    <w:rsid w:val="003B3D1E"/>
    <w:rsid w:val="003B6958"/>
    <w:rsid w:val="003B7A45"/>
    <w:rsid w:val="003C0B9E"/>
    <w:rsid w:val="003C508B"/>
    <w:rsid w:val="003D2E71"/>
    <w:rsid w:val="003D5312"/>
    <w:rsid w:val="003E3C1F"/>
    <w:rsid w:val="003E53FA"/>
    <w:rsid w:val="003F2BF7"/>
    <w:rsid w:val="003F33F2"/>
    <w:rsid w:val="003F6B09"/>
    <w:rsid w:val="003F7909"/>
    <w:rsid w:val="003F79C3"/>
    <w:rsid w:val="003F7DD1"/>
    <w:rsid w:val="00400205"/>
    <w:rsid w:val="00400922"/>
    <w:rsid w:val="00407394"/>
    <w:rsid w:val="00424F6F"/>
    <w:rsid w:val="00427D01"/>
    <w:rsid w:val="00436469"/>
    <w:rsid w:val="0044161B"/>
    <w:rsid w:val="00441666"/>
    <w:rsid w:val="00446E49"/>
    <w:rsid w:val="00447257"/>
    <w:rsid w:val="0045160B"/>
    <w:rsid w:val="004560C9"/>
    <w:rsid w:val="0045628E"/>
    <w:rsid w:val="00460A0D"/>
    <w:rsid w:val="004629AA"/>
    <w:rsid w:val="0046496F"/>
    <w:rsid w:val="004902F3"/>
    <w:rsid w:val="004945C7"/>
    <w:rsid w:val="0049473E"/>
    <w:rsid w:val="004958C0"/>
    <w:rsid w:val="00496984"/>
    <w:rsid w:val="004A07CC"/>
    <w:rsid w:val="004A0BD1"/>
    <w:rsid w:val="004A5505"/>
    <w:rsid w:val="004A6343"/>
    <w:rsid w:val="004B475D"/>
    <w:rsid w:val="004C60EA"/>
    <w:rsid w:val="004C6228"/>
    <w:rsid w:val="004C66F2"/>
    <w:rsid w:val="004E0BC4"/>
    <w:rsid w:val="004E43C9"/>
    <w:rsid w:val="004E5CEC"/>
    <w:rsid w:val="004F1315"/>
    <w:rsid w:val="004F19FB"/>
    <w:rsid w:val="0050313C"/>
    <w:rsid w:val="005032DB"/>
    <w:rsid w:val="005034A6"/>
    <w:rsid w:val="005069BB"/>
    <w:rsid w:val="005100CA"/>
    <w:rsid w:val="00511F48"/>
    <w:rsid w:val="00512E69"/>
    <w:rsid w:val="0051385E"/>
    <w:rsid w:val="005246E7"/>
    <w:rsid w:val="00524A03"/>
    <w:rsid w:val="00530709"/>
    <w:rsid w:val="0053138F"/>
    <w:rsid w:val="005345BC"/>
    <w:rsid w:val="00534772"/>
    <w:rsid w:val="00534D56"/>
    <w:rsid w:val="00537F5A"/>
    <w:rsid w:val="005448ED"/>
    <w:rsid w:val="00544BAB"/>
    <w:rsid w:val="00547081"/>
    <w:rsid w:val="0054719E"/>
    <w:rsid w:val="00553281"/>
    <w:rsid w:val="005542E8"/>
    <w:rsid w:val="005542E9"/>
    <w:rsid w:val="00557BAC"/>
    <w:rsid w:val="00560EAF"/>
    <w:rsid w:val="005659D5"/>
    <w:rsid w:val="00570974"/>
    <w:rsid w:val="00570C2F"/>
    <w:rsid w:val="0057367A"/>
    <w:rsid w:val="005754C8"/>
    <w:rsid w:val="005772CF"/>
    <w:rsid w:val="00577636"/>
    <w:rsid w:val="00580B06"/>
    <w:rsid w:val="00583A05"/>
    <w:rsid w:val="00584EF7"/>
    <w:rsid w:val="00590120"/>
    <w:rsid w:val="0059087C"/>
    <w:rsid w:val="00590AE7"/>
    <w:rsid w:val="00595E68"/>
    <w:rsid w:val="005974D0"/>
    <w:rsid w:val="005A28A2"/>
    <w:rsid w:val="005A2BE3"/>
    <w:rsid w:val="005A7BCA"/>
    <w:rsid w:val="005B5C31"/>
    <w:rsid w:val="005B7F0A"/>
    <w:rsid w:val="005C1439"/>
    <w:rsid w:val="005C160C"/>
    <w:rsid w:val="005D0AD6"/>
    <w:rsid w:val="005D4EB3"/>
    <w:rsid w:val="005D7501"/>
    <w:rsid w:val="005D7C84"/>
    <w:rsid w:val="005E1B1D"/>
    <w:rsid w:val="005E3E97"/>
    <w:rsid w:val="005F370F"/>
    <w:rsid w:val="005F7779"/>
    <w:rsid w:val="00600277"/>
    <w:rsid w:val="00602A93"/>
    <w:rsid w:val="00606568"/>
    <w:rsid w:val="00606BE6"/>
    <w:rsid w:val="00615AEF"/>
    <w:rsid w:val="00620590"/>
    <w:rsid w:val="00623A1B"/>
    <w:rsid w:val="00631C10"/>
    <w:rsid w:val="00642D08"/>
    <w:rsid w:val="00644A33"/>
    <w:rsid w:val="00644B4D"/>
    <w:rsid w:val="0064751A"/>
    <w:rsid w:val="00651BE8"/>
    <w:rsid w:val="0066503C"/>
    <w:rsid w:val="00667174"/>
    <w:rsid w:val="00671BAB"/>
    <w:rsid w:val="00672840"/>
    <w:rsid w:val="00675E9C"/>
    <w:rsid w:val="00677BA1"/>
    <w:rsid w:val="00685B3C"/>
    <w:rsid w:val="00694062"/>
    <w:rsid w:val="00695A34"/>
    <w:rsid w:val="006A5EFE"/>
    <w:rsid w:val="006A7429"/>
    <w:rsid w:val="006B28CC"/>
    <w:rsid w:val="006B372E"/>
    <w:rsid w:val="006B3FFC"/>
    <w:rsid w:val="006C0D48"/>
    <w:rsid w:val="006C554E"/>
    <w:rsid w:val="006C6941"/>
    <w:rsid w:val="006D1EBB"/>
    <w:rsid w:val="006D3611"/>
    <w:rsid w:val="006D41CE"/>
    <w:rsid w:val="006D457F"/>
    <w:rsid w:val="006E0301"/>
    <w:rsid w:val="006E37CD"/>
    <w:rsid w:val="006E4516"/>
    <w:rsid w:val="006E489B"/>
    <w:rsid w:val="006F1EDA"/>
    <w:rsid w:val="006F2D03"/>
    <w:rsid w:val="006F439C"/>
    <w:rsid w:val="006F5C89"/>
    <w:rsid w:val="0070051B"/>
    <w:rsid w:val="0071007A"/>
    <w:rsid w:val="00711426"/>
    <w:rsid w:val="00716C2C"/>
    <w:rsid w:val="007205D3"/>
    <w:rsid w:val="00721186"/>
    <w:rsid w:val="0072217C"/>
    <w:rsid w:val="007259AA"/>
    <w:rsid w:val="00732E6E"/>
    <w:rsid w:val="00744C11"/>
    <w:rsid w:val="007458CE"/>
    <w:rsid w:val="00751A8F"/>
    <w:rsid w:val="00762E39"/>
    <w:rsid w:val="00763258"/>
    <w:rsid w:val="00765512"/>
    <w:rsid w:val="00774BB8"/>
    <w:rsid w:val="007759CE"/>
    <w:rsid w:val="0077608E"/>
    <w:rsid w:val="007819B9"/>
    <w:rsid w:val="007873B8"/>
    <w:rsid w:val="00791FDE"/>
    <w:rsid w:val="00796265"/>
    <w:rsid w:val="007A1DFC"/>
    <w:rsid w:val="007A33D7"/>
    <w:rsid w:val="007B2614"/>
    <w:rsid w:val="007B28DD"/>
    <w:rsid w:val="007B456A"/>
    <w:rsid w:val="007B4F82"/>
    <w:rsid w:val="007B6897"/>
    <w:rsid w:val="007C2137"/>
    <w:rsid w:val="007D23D4"/>
    <w:rsid w:val="007D64AE"/>
    <w:rsid w:val="007F1A86"/>
    <w:rsid w:val="007F2021"/>
    <w:rsid w:val="007F4B6B"/>
    <w:rsid w:val="007F6D43"/>
    <w:rsid w:val="008040AF"/>
    <w:rsid w:val="008059BB"/>
    <w:rsid w:val="00805B95"/>
    <w:rsid w:val="00806AF4"/>
    <w:rsid w:val="00815A66"/>
    <w:rsid w:val="00820979"/>
    <w:rsid w:val="00822791"/>
    <w:rsid w:val="00823802"/>
    <w:rsid w:val="00823FB6"/>
    <w:rsid w:val="00831AD8"/>
    <w:rsid w:val="008357DF"/>
    <w:rsid w:val="00837874"/>
    <w:rsid w:val="008411AF"/>
    <w:rsid w:val="00843276"/>
    <w:rsid w:val="00852FC0"/>
    <w:rsid w:val="00855848"/>
    <w:rsid w:val="00856A78"/>
    <w:rsid w:val="00857708"/>
    <w:rsid w:val="00863D38"/>
    <w:rsid w:val="008711DC"/>
    <w:rsid w:val="00872D85"/>
    <w:rsid w:val="00873609"/>
    <w:rsid w:val="00874358"/>
    <w:rsid w:val="00877248"/>
    <w:rsid w:val="00877BD9"/>
    <w:rsid w:val="00880768"/>
    <w:rsid w:val="00880FDB"/>
    <w:rsid w:val="00881E55"/>
    <w:rsid w:val="00882126"/>
    <w:rsid w:val="008824EA"/>
    <w:rsid w:val="00886D0A"/>
    <w:rsid w:val="00887C9F"/>
    <w:rsid w:val="00893A43"/>
    <w:rsid w:val="008A4008"/>
    <w:rsid w:val="008A4EAC"/>
    <w:rsid w:val="008A54EF"/>
    <w:rsid w:val="008A6A0D"/>
    <w:rsid w:val="008A72C2"/>
    <w:rsid w:val="008B4550"/>
    <w:rsid w:val="008B7C40"/>
    <w:rsid w:val="008C6B1C"/>
    <w:rsid w:val="008D43BA"/>
    <w:rsid w:val="008D6CA4"/>
    <w:rsid w:val="008E4CEA"/>
    <w:rsid w:val="008E4D21"/>
    <w:rsid w:val="008E71FA"/>
    <w:rsid w:val="008F20C2"/>
    <w:rsid w:val="008F293D"/>
    <w:rsid w:val="008F527F"/>
    <w:rsid w:val="008F5930"/>
    <w:rsid w:val="008F7C5B"/>
    <w:rsid w:val="0090087C"/>
    <w:rsid w:val="00904152"/>
    <w:rsid w:val="0090532D"/>
    <w:rsid w:val="00905921"/>
    <w:rsid w:val="00915D92"/>
    <w:rsid w:val="00916132"/>
    <w:rsid w:val="00924385"/>
    <w:rsid w:val="0092482D"/>
    <w:rsid w:val="00924B8B"/>
    <w:rsid w:val="009251F9"/>
    <w:rsid w:val="00925FCD"/>
    <w:rsid w:val="009313B4"/>
    <w:rsid w:val="00931FFB"/>
    <w:rsid w:val="00932744"/>
    <w:rsid w:val="00937A3A"/>
    <w:rsid w:val="00940534"/>
    <w:rsid w:val="00940B03"/>
    <w:rsid w:val="009410DE"/>
    <w:rsid w:val="009411F5"/>
    <w:rsid w:val="0094122B"/>
    <w:rsid w:val="00950F53"/>
    <w:rsid w:val="009535C9"/>
    <w:rsid w:val="0095716D"/>
    <w:rsid w:val="00961B8F"/>
    <w:rsid w:val="00964EDD"/>
    <w:rsid w:val="00967B96"/>
    <w:rsid w:val="00967BC1"/>
    <w:rsid w:val="00967CAA"/>
    <w:rsid w:val="00971521"/>
    <w:rsid w:val="0097227C"/>
    <w:rsid w:val="00982237"/>
    <w:rsid w:val="0098274D"/>
    <w:rsid w:val="009836E5"/>
    <w:rsid w:val="00993D26"/>
    <w:rsid w:val="00997737"/>
    <w:rsid w:val="009977DB"/>
    <w:rsid w:val="009A0D2F"/>
    <w:rsid w:val="009A10D2"/>
    <w:rsid w:val="009A162C"/>
    <w:rsid w:val="009B39C5"/>
    <w:rsid w:val="009B6884"/>
    <w:rsid w:val="009C20F1"/>
    <w:rsid w:val="009C41D6"/>
    <w:rsid w:val="009C482C"/>
    <w:rsid w:val="009C4B15"/>
    <w:rsid w:val="009C7774"/>
    <w:rsid w:val="009D07C3"/>
    <w:rsid w:val="009D167C"/>
    <w:rsid w:val="009D34B1"/>
    <w:rsid w:val="009D51D8"/>
    <w:rsid w:val="009D5A26"/>
    <w:rsid w:val="009E122B"/>
    <w:rsid w:val="009E5B84"/>
    <w:rsid w:val="009F0974"/>
    <w:rsid w:val="009F1E66"/>
    <w:rsid w:val="009F2065"/>
    <w:rsid w:val="009F4F68"/>
    <w:rsid w:val="009F7F00"/>
    <w:rsid w:val="00A079D5"/>
    <w:rsid w:val="00A07F07"/>
    <w:rsid w:val="00A149BD"/>
    <w:rsid w:val="00A1582A"/>
    <w:rsid w:val="00A16749"/>
    <w:rsid w:val="00A17388"/>
    <w:rsid w:val="00A17E82"/>
    <w:rsid w:val="00A17FDF"/>
    <w:rsid w:val="00A237B4"/>
    <w:rsid w:val="00A26355"/>
    <w:rsid w:val="00A30265"/>
    <w:rsid w:val="00A3415F"/>
    <w:rsid w:val="00A427D5"/>
    <w:rsid w:val="00A4419E"/>
    <w:rsid w:val="00A45C52"/>
    <w:rsid w:val="00A525FC"/>
    <w:rsid w:val="00A52C91"/>
    <w:rsid w:val="00A55806"/>
    <w:rsid w:val="00A66B26"/>
    <w:rsid w:val="00A6729F"/>
    <w:rsid w:val="00A7168D"/>
    <w:rsid w:val="00A72EAD"/>
    <w:rsid w:val="00A730A4"/>
    <w:rsid w:val="00A75052"/>
    <w:rsid w:val="00A80F57"/>
    <w:rsid w:val="00A81FC4"/>
    <w:rsid w:val="00A844FA"/>
    <w:rsid w:val="00A86135"/>
    <w:rsid w:val="00A91C18"/>
    <w:rsid w:val="00A9301D"/>
    <w:rsid w:val="00A94B7E"/>
    <w:rsid w:val="00A96381"/>
    <w:rsid w:val="00A967F8"/>
    <w:rsid w:val="00AA0FAF"/>
    <w:rsid w:val="00AA433A"/>
    <w:rsid w:val="00AB20A8"/>
    <w:rsid w:val="00AB440A"/>
    <w:rsid w:val="00AB61D6"/>
    <w:rsid w:val="00AC04A8"/>
    <w:rsid w:val="00AC0C32"/>
    <w:rsid w:val="00AC10FA"/>
    <w:rsid w:val="00AC28F7"/>
    <w:rsid w:val="00AD08DF"/>
    <w:rsid w:val="00AD4C45"/>
    <w:rsid w:val="00AD5985"/>
    <w:rsid w:val="00AD72C8"/>
    <w:rsid w:val="00AD7A9E"/>
    <w:rsid w:val="00AE0DE3"/>
    <w:rsid w:val="00AE34F2"/>
    <w:rsid w:val="00AE6056"/>
    <w:rsid w:val="00AF032E"/>
    <w:rsid w:val="00AF1789"/>
    <w:rsid w:val="00AF4B34"/>
    <w:rsid w:val="00AF7A7E"/>
    <w:rsid w:val="00B02406"/>
    <w:rsid w:val="00B02F00"/>
    <w:rsid w:val="00B134A6"/>
    <w:rsid w:val="00B247F7"/>
    <w:rsid w:val="00B26AF5"/>
    <w:rsid w:val="00B26C90"/>
    <w:rsid w:val="00B3537B"/>
    <w:rsid w:val="00B35A45"/>
    <w:rsid w:val="00B368F0"/>
    <w:rsid w:val="00B373C0"/>
    <w:rsid w:val="00B40DB3"/>
    <w:rsid w:val="00B40F07"/>
    <w:rsid w:val="00B40FC0"/>
    <w:rsid w:val="00B41300"/>
    <w:rsid w:val="00B4134A"/>
    <w:rsid w:val="00B454B0"/>
    <w:rsid w:val="00B47158"/>
    <w:rsid w:val="00B54147"/>
    <w:rsid w:val="00B63DE8"/>
    <w:rsid w:val="00B7028B"/>
    <w:rsid w:val="00B72E81"/>
    <w:rsid w:val="00B75EF2"/>
    <w:rsid w:val="00B76476"/>
    <w:rsid w:val="00B77D9E"/>
    <w:rsid w:val="00B87415"/>
    <w:rsid w:val="00B876A2"/>
    <w:rsid w:val="00B90366"/>
    <w:rsid w:val="00B92565"/>
    <w:rsid w:val="00BA0BD6"/>
    <w:rsid w:val="00BA2738"/>
    <w:rsid w:val="00BA550F"/>
    <w:rsid w:val="00BA6636"/>
    <w:rsid w:val="00BB1145"/>
    <w:rsid w:val="00BB1E49"/>
    <w:rsid w:val="00BB49F5"/>
    <w:rsid w:val="00BB4E28"/>
    <w:rsid w:val="00BB51F2"/>
    <w:rsid w:val="00BB5E90"/>
    <w:rsid w:val="00BB775B"/>
    <w:rsid w:val="00BC1E92"/>
    <w:rsid w:val="00BC2967"/>
    <w:rsid w:val="00BC43E4"/>
    <w:rsid w:val="00BC6C47"/>
    <w:rsid w:val="00BC7106"/>
    <w:rsid w:val="00BD25CB"/>
    <w:rsid w:val="00BD4D5D"/>
    <w:rsid w:val="00BD71A6"/>
    <w:rsid w:val="00BD7EC3"/>
    <w:rsid w:val="00BE1C4F"/>
    <w:rsid w:val="00BE38C6"/>
    <w:rsid w:val="00BF3563"/>
    <w:rsid w:val="00C004AC"/>
    <w:rsid w:val="00C02019"/>
    <w:rsid w:val="00C03F5D"/>
    <w:rsid w:val="00C05540"/>
    <w:rsid w:val="00C1144D"/>
    <w:rsid w:val="00C11AD4"/>
    <w:rsid w:val="00C12515"/>
    <w:rsid w:val="00C134B1"/>
    <w:rsid w:val="00C13D90"/>
    <w:rsid w:val="00C166A7"/>
    <w:rsid w:val="00C178E5"/>
    <w:rsid w:val="00C2423F"/>
    <w:rsid w:val="00C26E0D"/>
    <w:rsid w:val="00C33449"/>
    <w:rsid w:val="00C43CF0"/>
    <w:rsid w:val="00C44C8F"/>
    <w:rsid w:val="00C452A0"/>
    <w:rsid w:val="00C51894"/>
    <w:rsid w:val="00C539CC"/>
    <w:rsid w:val="00C56878"/>
    <w:rsid w:val="00C56D79"/>
    <w:rsid w:val="00C57545"/>
    <w:rsid w:val="00C63624"/>
    <w:rsid w:val="00C656AC"/>
    <w:rsid w:val="00C67407"/>
    <w:rsid w:val="00C67A72"/>
    <w:rsid w:val="00C706A1"/>
    <w:rsid w:val="00C7259A"/>
    <w:rsid w:val="00C75638"/>
    <w:rsid w:val="00C85C1C"/>
    <w:rsid w:val="00C9017B"/>
    <w:rsid w:val="00C96A84"/>
    <w:rsid w:val="00CA10C7"/>
    <w:rsid w:val="00CA6466"/>
    <w:rsid w:val="00CA6A45"/>
    <w:rsid w:val="00CA7E30"/>
    <w:rsid w:val="00CB0224"/>
    <w:rsid w:val="00CB0710"/>
    <w:rsid w:val="00CB07E8"/>
    <w:rsid w:val="00CB1CC1"/>
    <w:rsid w:val="00CB2137"/>
    <w:rsid w:val="00CB24C0"/>
    <w:rsid w:val="00CB261D"/>
    <w:rsid w:val="00CB5986"/>
    <w:rsid w:val="00CB5ED9"/>
    <w:rsid w:val="00CD21B7"/>
    <w:rsid w:val="00CE0907"/>
    <w:rsid w:val="00CE0F7E"/>
    <w:rsid w:val="00CE6766"/>
    <w:rsid w:val="00CF2A94"/>
    <w:rsid w:val="00CF2FB8"/>
    <w:rsid w:val="00CF38CF"/>
    <w:rsid w:val="00CF3F61"/>
    <w:rsid w:val="00CF506F"/>
    <w:rsid w:val="00D04844"/>
    <w:rsid w:val="00D10F1F"/>
    <w:rsid w:val="00D11E52"/>
    <w:rsid w:val="00D11F0A"/>
    <w:rsid w:val="00D14411"/>
    <w:rsid w:val="00D21012"/>
    <w:rsid w:val="00D21625"/>
    <w:rsid w:val="00D24BAE"/>
    <w:rsid w:val="00D33E99"/>
    <w:rsid w:val="00D34208"/>
    <w:rsid w:val="00D375E3"/>
    <w:rsid w:val="00D42B99"/>
    <w:rsid w:val="00D57879"/>
    <w:rsid w:val="00D63D6A"/>
    <w:rsid w:val="00D66EC6"/>
    <w:rsid w:val="00D67EC4"/>
    <w:rsid w:val="00D7080A"/>
    <w:rsid w:val="00D728A7"/>
    <w:rsid w:val="00D74111"/>
    <w:rsid w:val="00D775D3"/>
    <w:rsid w:val="00D80B1A"/>
    <w:rsid w:val="00D80B7F"/>
    <w:rsid w:val="00D811D8"/>
    <w:rsid w:val="00D8224B"/>
    <w:rsid w:val="00D842A0"/>
    <w:rsid w:val="00D85E7B"/>
    <w:rsid w:val="00D85F0B"/>
    <w:rsid w:val="00D95361"/>
    <w:rsid w:val="00DA012E"/>
    <w:rsid w:val="00DA566F"/>
    <w:rsid w:val="00DA587F"/>
    <w:rsid w:val="00DB0FDF"/>
    <w:rsid w:val="00DB129C"/>
    <w:rsid w:val="00DB1B36"/>
    <w:rsid w:val="00DB358E"/>
    <w:rsid w:val="00DB7D5A"/>
    <w:rsid w:val="00DC0061"/>
    <w:rsid w:val="00DC18B1"/>
    <w:rsid w:val="00DC1CF9"/>
    <w:rsid w:val="00DD22C6"/>
    <w:rsid w:val="00DD4B90"/>
    <w:rsid w:val="00DE654F"/>
    <w:rsid w:val="00DF021B"/>
    <w:rsid w:val="00DF4087"/>
    <w:rsid w:val="00DF68A3"/>
    <w:rsid w:val="00DF78D8"/>
    <w:rsid w:val="00E01665"/>
    <w:rsid w:val="00E03AE1"/>
    <w:rsid w:val="00E04021"/>
    <w:rsid w:val="00E04814"/>
    <w:rsid w:val="00E1130A"/>
    <w:rsid w:val="00E12BC9"/>
    <w:rsid w:val="00E12C4C"/>
    <w:rsid w:val="00E12FDB"/>
    <w:rsid w:val="00E20519"/>
    <w:rsid w:val="00E21E5B"/>
    <w:rsid w:val="00E24FF7"/>
    <w:rsid w:val="00E26C2E"/>
    <w:rsid w:val="00E2710F"/>
    <w:rsid w:val="00E347D9"/>
    <w:rsid w:val="00E3618E"/>
    <w:rsid w:val="00E45360"/>
    <w:rsid w:val="00E550A7"/>
    <w:rsid w:val="00E57781"/>
    <w:rsid w:val="00E67646"/>
    <w:rsid w:val="00E7196D"/>
    <w:rsid w:val="00E729D8"/>
    <w:rsid w:val="00E73B03"/>
    <w:rsid w:val="00E76C83"/>
    <w:rsid w:val="00E80615"/>
    <w:rsid w:val="00E8155D"/>
    <w:rsid w:val="00E87231"/>
    <w:rsid w:val="00E90158"/>
    <w:rsid w:val="00E92F18"/>
    <w:rsid w:val="00E9569F"/>
    <w:rsid w:val="00E958BE"/>
    <w:rsid w:val="00EA157F"/>
    <w:rsid w:val="00EA4A46"/>
    <w:rsid w:val="00EB0597"/>
    <w:rsid w:val="00EB10AF"/>
    <w:rsid w:val="00EC2E9F"/>
    <w:rsid w:val="00EC41A0"/>
    <w:rsid w:val="00EC56B5"/>
    <w:rsid w:val="00EC5A90"/>
    <w:rsid w:val="00EC7E0D"/>
    <w:rsid w:val="00ED2A1A"/>
    <w:rsid w:val="00ED5F39"/>
    <w:rsid w:val="00EE3B3D"/>
    <w:rsid w:val="00EE64AA"/>
    <w:rsid w:val="00EE786A"/>
    <w:rsid w:val="00EF2E46"/>
    <w:rsid w:val="00EF7816"/>
    <w:rsid w:val="00EF7A72"/>
    <w:rsid w:val="00F02B4C"/>
    <w:rsid w:val="00F045DD"/>
    <w:rsid w:val="00F05DC6"/>
    <w:rsid w:val="00F10DF1"/>
    <w:rsid w:val="00F2033B"/>
    <w:rsid w:val="00F20BEF"/>
    <w:rsid w:val="00F23059"/>
    <w:rsid w:val="00F26A10"/>
    <w:rsid w:val="00F273A7"/>
    <w:rsid w:val="00F27933"/>
    <w:rsid w:val="00F500FD"/>
    <w:rsid w:val="00F5266B"/>
    <w:rsid w:val="00F53A0D"/>
    <w:rsid w:val="00F53A23"/>
    <w:rsid w:val="00F6701C"/>
    <w:rsid w:val="00F71494"/>
    <w:rsid w:val="00F72132"/>
    <w:rsid w:val="00F75E46"/>
    <w:rsid w:val="00F8495C"/>
    <w:rsid w:val="00F85E9E"/>
    <w:rsid w:val="00F8734A"/>
    <w:rsid w:val="00F900D0"/>
    <w:rsid w:val="00F92405"/>
    <w:rsid w:val="00F93025"/>
    <w:rsid w:val="00F941F6"/>
    <w:rsid w:val="00F945FE"/>
    <w:rsid w:val="00F967C6"/>
    <w:rsid w:val="00FB4213"/>
    <w:rsid w:val="00FB4548"/>
    <w:rsid w:val="00FB77DB"/>
    <w:rsid w:val="00FC0D52"/>
    <w:rsid w:val="00FC5A6E"/>
    <w:rsid w:val="00FC5F0E"/>
    <w:rsid w:val="00FD0FF6"/>
    <w:rsid w:val="00FD64E5"/>
    <w:rsid w:val="00FD7833"/>
    <w:rsid w:val="00FD79FA"/>
    <w:rsid w:val="00FE278A"/>
    <w:rsid w:val="00FE302A"/>
    <w:rsid w:val="00FE31F3"/>
    <w:rsid w:val="00FF10A3"/>
    <w:rsid w:val="00FF13D9"/>
    <w:rsid w:val="00FF231F"/>
    <w:rsid w:val="00FF60AA"/>
    <w:rsid w:val="017E7E39"/>
    <w:rsid w:val="01CC026F"/>
    <w:rsid w:val="023C7C8A"/>
    <w:rsid w:val="033E7623"/>
    <w:rsid w:val="034C72DC"/>
    <w:rsid w:val="035C5045"/>
    <w:rsid w:val="037E6043"/>
    <w:rsid w:val="05A679B8"/>
    <w:rsid w:val="05C70E9C"/>
    <w:rsid w:val="06CB7C37"/>
    <w:rsid w:val="07675D57"/>
    <w:rsid w:val="07707BDD"/>
    <w:rsid w:val="077566D6"/>
    <w:rsid w:val="07AF04E9"/>
    <w:rsid w:val="0822231F"/>
    <w:rsid w:val="08B478DA"/>
    <w:rsid w:val="0A645E44"/>
    <w:rsid w:val="0A8E7038"/>
    <w:rsid w:val="0AA3355A"/>
    <w:rsid w:val="0B4D385B"/>
    <w:rsid w:val="0B7E72CD"/>
    <w:rsid w:val="0B882438"/>
    <w:rsid w:val="0BB023D2"/>
    <w:rsid w:val="0C3531E0"/>
    <w:rsid w:val="0CF23EDB"/>
    <w:rsid w:val="0D2B3A0A"/>
    <w:rsid w:val="0D6636DE"/>
    <w:rsid w:val="0E43443A"/>
    <w:rsid w:val="0EAA5C17"/>
    <w:rsid w:val="0F000F7B"/>
    <w:rsid w:val="0F264E85"/>
    <w:rsid w:val="0F2C7FC2"/>
    <w:rsid w:val="0FC4644C"/>
    <w:rsid w:val="10060813"/>
    <w:rsid w:val="10552D49"/>
    <w:rsid w:val="113A4C18"/>
    <w:rsid w:val="11493EB8"/>
    <w:rsid w:val="11BA18B5"/>
    <w:rsid w:val="11FB183C"/>
    <w:rsid w:val="129465AA"/>
    <w:rsid w:val="12A54EC2"/>
    <w:rsid w:val="12A90336"/>
    <w:rsid w:val="12D40754"/>
    <w:rsid w:val="12ED2893"/>
    <w:rsid w:val="13CC3F24"/>
    <w:rsid w:val="13CE0F4A"/>
    <w:rsid w:val="13F221E4"/>
    <w:rsid w:val="13F345B2"/>
    <w:rsid w:val="144143EC"/>
    <w:rsid w:val="144D0ACC"/>
    <w:rsid w:val="14A06F53"/>
    <w:rsid w:val="14B95E54"/>
    <w:rsid w:val="16BF1CF4"/>
    <w:rsid w:val="179C6901"/>
    <w:rsid w:val="17B60D70"/>
    <w:rsid w:val="18AF61E0"/>
    <w:rsid w:val="18D21823"/>
    <w:rsid w:val="19B71113"/>
    <w:rsid w:val="1A145B6D"/>
    <w:rsid w:val="1BF63E31"/>
    <w:rsid w:val="1C0175A0"/>
    <w:rsid w:val="1CC550B7"/>
    <w:rsid w:val="1CDC3027"/>
    <w:rsid w:val="1D142E25"/>
    <w:rsid w:val="1D9E652E"/>
    <w:rsid w:val="1DF34A12"/>
    <w:rsid w:val="1E50152F"/>
    <w:rsid w:val="1E512DFF"/>
    <w:rsid w:val="1E940B71"/>
    <w:rsid w:val="1FA308E5"/>
    <w:rsid w:val="20A44C20"/>
    <w:rsid w:val="210E6640"/>
    <w:rsid w:val="218F6BFE"/>
    <w:rsid w:val="22A939AB"/>
    <w:rsid w:val="233D0348"/>
    <w:rsid w:val="24307BC7"/>
    <w:rsid w:val="2432054D"/>
    <w:rsid w:val="24561911"/>
    <w:rsid w:val="246833F2"/>
    <w:rsid w:val="24B30E1F"/>
    <w:rsid w:val="254A4AA1"/>
    <w:rsid w:val="260A5C52"/>
    <w:rsid w:val="26DD2094"/>
    <w:rsid w:val="27C12189"/>
    <w:rsid w:val="282606B2"/>
    <w:rsid w:val="28B62910"/>
    <w:rsid w:val="28BA7F95"/>
    <w:rsid w:val="29717C67"/>
    <w:rsid w:val="2B597F39"/>
    <w:rsid w:val="2B8F5708"/>
    <w:rsid w:val="2C0B26C0"/>
    <w:rsid w:val="2C6D611D"/>
    <w:rsid w:val="2CCB2770"/>
    <w:rsid w:val="2D012D4C"/>
    <w:rsid w:val="2DE36966"/>
    <w:rsid w:val="2E006016"/>
    <w:rsid w:val="2E125600"/>
    <w:rsid w:val="2EB77450"/>
    <w:rsid w:val="2F112EE4"/>
    <w:rsid w:val="2FC05B32"/>
    <w:rsid w:val="2FE82BF8"/>
    <w:rsid w:val="2FFB3F1B"/>
    <w:rsid w:val="308710A4"/>
    <w:rsid w:val="30AC28B9"/>
    <w:rsid w:val="30B71989"/>
    <w:rsid w:val="30FB7472"/>
    <w:rsid w:val="3184437D"/>
    <w:rsid w:val="32042DBC"/>
    <w:rsid w:val="323B16A9"/>
    <w:rsid w:val="32476D3D"/>
    <w:rsid w:val="329867E2"/>
    <w:rsid w:val="331309CD"/>
    <w:rsid w:val="335F1484"/>
    <w:rsid w:val="336A2CE3"/>
    <w:rsid w:val="34435210"/>
    <w:rsid w:val="34781430"/>
    <w:rsid w:val="3491429F"/>
    <w:rsid w:val="35496928"/>
    <w:rsid w:val="355D06B2"/>
    <w:rsid w:val="355F24C8"/>
    <w:rsid w:val="358D4A67"/>
    <w:rsid w:val="36C97D20"/>
    <w:rsid w:val="36CA265A"/>
    <w:rsid w:val="36EB3329"/>
    <w:rsid w:val="372D5F66"/>
    <w:rsid w:val="37976071"/>
    <w:rsid w:val="38261871"/>
    <w:rsid w:val="39174642"/>
    <w:rsid w:val="39FD05D8"/>
    <w:rsid w:val="3A4F0BA5"/>
    <w:rsid w:val="3A711271"/>
    <w:rsid w:val="3ADE20F9"/>
    <w:rsid w:val="3BF91416"/>
    <w:rsid w:val="3BFE66BE"/>
    <w:rsid w:val="3C972663"/>
    <w:rsid w:val="3CE17E60"/>
    <w:rsid w:val="3CF575B9"/>
    <w:rsid w:val="3D632551"/>
    <w:rsid w:val="3D8F641F"/>
    <w:rsid w:val="3DA75F7C"/>
    <w:rsid w:val="3DED2E61"/>
    <w:rsid w:val="3E942775"/>
    <w:rsid w:val="3F2A4114"/>
    <w:rsid w:val="401A037E"/>
    <w:rsid w:val="410A78B3"/>
    <w:rsid w:val="41151DB4"/>
    <w:rsid w:val="41A85BD4"/>
    <w:rsid w:val="42D607AA"/>
    <w:rsid w:val="42E14644"/>
    <w:rsid w:val="43CA2C60"/>
    <w:rsid w:val="440440A7"/>
    <w:rsid w:val="440A1978"/>
    <w:rsid w:val="441B2C89"/>
    <w:rsid w:val="44F248E6"/>
    <w:rsid w:val="45344EFF"/>
    <w:rsid w:val="45367F51"/>
    <w:rsid w:val="455A6AB4"/>
    <w:rsid w:val="458B5863"/>
    <w:rsid w:val="45943BEF"/>
    <w:rsid w:val="45EA33DC"/>
    <w:rsid w:val="47332F94"/>
    <w:rsid w:val="47CD5197"/>
    <w:rsid w:val="47F170D7"/>
    <w:rsid w:val="48527ACC"/>
    <w:rsid w:val="49827DB6"/>
    <w:rsid w:val="49CE49E8"/>
    <w:rsid w:val="4A272BCA"/>
    <w:rsid w:val="4A5262B2"/>
    <w:rsid w:val="4A5E657A"/>
    <w:rsid w:val="4AD7266F"/>
    <w:rsid w:val="4AE061AA"/>
    <w:rsid w:val="4B11566B"/>
    <w:rsid w:val="4B6B53F2"/>
    <w:rsid w:val="4BC43586"/>
    <w:rsid w:val="4BE4268F"/>
    <w:rsid w:val="4C20254B"/>
    <w:rsid w:val="4CD418E6"/>
    <w:rsid w:val="4D466E84"/>
    <w:rsid w:val="4E165AE9"/>
    <w:rsid w:val="4E200716"/>
    <w:rsid w:val="4F57533D"/>
    <w:rsid w:val="506F75B4"/>
    <w:rsid w:val="50B35010"/>
    <w:rsid w:val="51845471"/>
    <w:rsid w:val="522B768A"/>
    <w:rsid w:val="528B118D"/>
    <w:rsid w:val="529134F0"/>
    <w:rsid w:val="53071EA5"/>
    <w:rsid w:val="53E73532"/>
    <w:rsid w:val="54186244"/>
    <w:rsid w:val="5460720C"/>
    <w:rsid w:val="54CD5E5F"/>
    <w:rsid w:val="551461D9"/>
    <w:rsid w:val="558E065B"/>
    <w:rsid w:val="560F1802"/>
    <w:rsid w:val="567162E0"/>
    <w:rsid w:val="58920462"/>
    <w:rsid w:val="59055EC4"/>
    <w:rsid w:val="591470C9"/>
    <w:rsid w:val="592F35FE"/>
    <w:rsid w:val="5A2E66EC"/>
    <w:rsid w:val="5AE147BC"/>
    <w:rsid w:val="5B9A5D0C"/>
    <w:rsid w:val="5E7469B8"/>
    <w:rsid w:val="5EF54F66"/>
    <w:rsid w:val="5F4F1F06"/>
    <w:rsid w:val="5F700DD2"/>
    <w:rsid w:val="5F897582"/>
    <w:rsid w:val="5FE3302B"/>
    <w:rsid w:val="5FE3483E"/>
    <w:rsid w:val="60A66A0A"/>
    <w:rsid w:val="60C82138"/>
    <w:rsid w:val="61161505"/>
    <w:rsid w:val="6150168E"/>
    <w:rsid w:val="617A2E24"/>
    <w:rsid w:val="61EB0BE3"/>
    <w:rsid w:val="624F4CCE"/>
    <w:rsid w:val="62C751AC"/>
    <w:rsid w:val="638C7747"/>
    <w:rsid w:val="639B527E"/>
    <w:rsid w:val="63F52F0D"/>
    <w:rsid w:val="64017FF4"/>
    <w:rsid w:val="645F1F35"/>
    <w:rsid w:val="64712F4F"/>
    <w:rsid w:val="65D77836"/>
    <w:rsid w:val="66270337"/>
    <w:rsid w:val="67011B2B"/>
    <w:rsid w:val="670A1B0C"/>
    <w:rsid w:val="67451287"/>
    <w:rsid w:val="6785439E"/>
    <w:rsid w:val="67A7735B"/>
    <w:rsid w:val="68310B7F"/>
    <w:rsid w:val="684F3C7A"/>
    <w:rsid w:val="68697F15"/>
    <w:rsid w:val="689228BD"/>
    <w:rsid w:val="69871B9D"/>
    <w:rsid w:val="6A933487"/>
    <w:rsid w:val="6BA46BA3"/>
    <w:rsid w:val="6C517895"/>
    <w:rsid w:val="6C7146D5"/>
    <w:rsid w:val="6D1E00BF"/>
    <w:rsid w:val="6D495D71"/>
    <w:rsid w:val="6E0C5184"/>
    <w:rsid w:val="6E10454B"/>
    <w:rsid w:val="6F7A52C8"/>
    <w:rsid w:val="70331CA5"/>
    <w:rsid w:val="70557BC9"/>
    <w:rsid w:val="70D92E94"/>
    <w:rsid w:val="7133290F"/>
    <w:rsid w:val="71AC3EEB"/>
    <w:rsid w:val="71C16286"/>
    <w:rsid w:val="725E523A"/>
    <w:rsid w:val="72E01973"/>
    <w:rsid w:val="72F71196"/>
    <w:rsid w:val="73095065"/>
    <w:rsid w:val="733D7E36"/>
    <w:rsid w:val="73A330CC"/>
    <w:rsid w:val="74081181"/>
    <w:rsid w:val="74830A3C"/>
    <w:rsid w:val="754C7DD7"/>
    <w:rsid w:val="75857250"/>
    <w:rsid w:val="761B2363"/>
    <w:rsid w:val="765B7C11"/>
    <w:rsid w:val="77AE385E"/>
    <w:rsid w:val="78250553"/>
    <w:rsid w:val="78786B7D"/>
    <w:rsid w:val="78793335"/>
    <w:rsid w:val="78B3678D"/>
    <w:rsid w:val="79641C2B"/>
    <w:rsid w:val="796A2AF7"/>
    <w:rsid w:val="7BC57958"/>
    <w:rsid w:val="7BFE17E7"/>
    <w:rsid w:val="7C8C7B6B"/>
    <w:rsid w:val="7D6B2EAC"/>
    <w:rsid w:val="7DA834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5"/>
    <w:qFormat/>
    <w:uiPriority w:val="9"/>
    <w:pPr>
      <w:keepNext/>
      <w:keepLines/>
      <w:spacing w:line="560" w:lineRule="exact"/>
      <w:ind w:firstLine="200" w:firstLineChars="200"/>
      <w:outlineLvl w:val="0"/>
    </w:pPr>
    <w:rPr>
      <w:rFonts w:eastAsia="黑体"/>
      <w:bCs/>
      <w:kern w:val="44"/>
      <w:sz w:val="32"/>
      <w:szCs w:val="44"/>
    </w:rPr>
  </w:style>
  <w:style w:type="paragraph" w:styleId="5">
    <w:name w:val="heading 2"/>
    <w:basedOn w:val="1"/>
    <w:next w:val="1"/>
    <w:link w:val="24"/>
    <w:unhideWhenUsed/>
    <w:qFormat/>
    <w:uiPriority w:val="9"/>
    <w:pPr>
      <w:keepNext/>
      <w:keepLines/>
      <w:spacing w:line="560" w:lineRule="exact"/>
      <w:ind w:firstLine="200" w:firstLineChars="200"/>
      <w:outlineLvl w:val="1"/>
    </w:pPr>
    <w:rPr>
      <w:rFonts w:eastAsia="楷体_GB2312" w:asciiTheme="majorHAnsi" w:hAnsiTheme="majorHAnsi" w:cstheme="majorBidi"/>
      <w:bCs/>
      <w:sz w:val="32"/>
      <w:szCs w:val="32"/>
    </w:rPr>
  </w:style>
  <w:style w:type="paragraph" w:styleId="6">
    <w:name w:val="heading 3"/>
    <w:basedOn w:val="1"/>
    <w:next w:val="1"/>
    <w:link w:val="25"/>
    <w:unhideWhenUsed/>
    <w:qFormat/>
    <w:uiPriority w:val="9"/>
    <w:pPr>
      <w:keepNext/>
      <w:keepLines/>
      <w:spacing w:line="560" w:lineRule="exact"/>
      <w:ind w:firstLine="200" w:firstLineChars="200"/>
      <w:outlineLvl w:val="2"/>
    </w:pPr>
    <w:rPr>
      <w:rFonts w:ascii="Times New Roman" w:hAnsi="Times New Roman" w:eastAsia="仿宋" w:cs="Times New Roman"/>
      <w:bCs/>
      <w:sz w:val="32"/>
      <w:szCs w:val="32"/>
    </w:rPr>
  </w:style>
  <w:style w:type="paragraph" w:styleId="7">
    <w:name w:val="heading 4"/>
    <w:basedOn w:val="1"/>
    <w:next w:val="1"/>
    <w:link w:val="36"/>
    <w:unhideWhenUsed/>
    <w:qFormat/>
    <w:uiPriority w:val="9"/>
    <w:pPr>
      <w:keepNext/>
      <w:keepLines/>
      <w:spacing w:line="560" w:lineRule="exact"/>
      <w:ind w:firstLine="200" w:firstLineChars="200"/>
      <w:outlineLvl w:val="3"/>
    </w:pPr>
    <w:rPr>
      <w:rFonts w:eastAsia="仿宋" w:asciiTheme="majorHAnsi" w:hAnsiTheme="majorHAnsi" w:cstheme="majorBidi"/>
      <w:bCs/>
      <w:sz w:val="32"/>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adjustRightInd w:val="0"/>
      <w:snapToGrid w:val="0"/>
      <w:ind w:firstLine="420"/>
    </w:pPr>
    <w:rPr>
      <w:rFonts w:ascii="仿宋_GB2312" w:hAnsi="Times New Roman" w:eastAsia="仿宋_GB2312" w:cs="仿宋_GB2312"/>
      <w:sz w:val="32"/>
      <w:szCs w:val="32"/>
      <w:lang w:val="en-US" w:bidi="ar-SA"/>
    </w:rPr>
  </w:style>
  <w:style w:type="paragraph" w:styleId="3">
    <w:name w:val="Body Text Indent"/>
    <w:basedOn w:val="1"/>
    <w:unhideWhenUsed/>
    <w:qFormat/>
    <w:uiPriority w:val="99"/>
    <w:pPr>
      <w:spacing w:after="120"/>
      <w:ind w:left="420" w:leftChars="200"/>
    </w:pPr>
    <w:rPr>
      <w:rFonts w:ascii="Calibri" w:hAnsi="Calibri" w:cs="Times New Roman"/>
    </w:rPr>
  </w:style>
  <w:style w:type="paragraph" w:styleId="8">
    <w:name w:val="Normal Indent"/>
    <w:basedOn w:val="1"/>
    <w:qFormat/>
    <w:uiPriority w:val="0"/>
    <w:pPr>
      <w:ind w:firstLine="420" w:firstLineChars="200"/>
    </w:pPr>
  </w:style>
  <w:style w:type="paragraph" w:styleId="9">
    <w:name w:val="annotation text"/>
    <w:basedOn w:val="1"/>
    <w:link w:val="29"/>
    <w:unhideWhenUsed/>
    <w:qFormat/>
    <w:uiPriority w:val="0"/>
    <w:pPr>
      <w:jc w:val="left"/>
    </w:pPr>
  </w:style>
  <w:style w:type="paragraph" w:styleId="10">
    <w:name w:val="toc 3"/>
    <w:basedOn w:val="1"/>
    <w:next w:val="1"/>
    <w:unhideWhenUsed/>
    <w:qFormat/>
    <w:uiPriority w:val="39"/>
    <w:pPr>
      <w:ind w:left="840" w:leftChars="400"/>
    </w:pPr>
  </w:style>
  <w:style w:type="paragraph" w:styleId="11">
    <w:name w:val="Balloon Text"/>
    <w:basedOn w:val="1"/>
    <w:link w:val="32"/>
    <w:semiHidden/>
    <w:unhideWhenUsed/>
    <w:qFormat/>
    <w:uiPriority w:val="99"/>
    <w:rPr>
      <w:sz w:val="18"/>
      <w:szCs w:val="18"/>
    </w:rPr>
  </w:style>
  <w:style w:type="paragraph" w:styleId="12">
    <w:name w:val="footer"/>
    <w:basedOn w:val="1"/>
    <w:link w:val="27"/>
    <w:unhideWhenUsed/>
    <w:qFormat/>
    <w:uiPriority w:val="99"/>
    <w:pPr>
      <w:tabs>
        <w:tab w:val="center" w:pos="4153"/>
        <w:tab w:val="right" w:pos="8306"/>
      </w:tabs>
      <w:snapToGrid w:val="0"/>
      <w:jc w:val="left"/>
    </w:pPr>
    <w:rPr>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style>
  <w:style w:type="paragraph" w:styleId="15">
    <w:name w:val="toc 2"/>
    <w:basedOn w:val="1"/>
    <w:next w:val="1"/>
    <w:unhideWhenUsed/>
    <w:qFormat/>
    <w:uiPriority w:val="39"/>
    <w:pPr>
      <w:ind w:left="420" w:leftChars="200"/>
    </w:pPr>
  </w:style>
  <w:style w:type="paragraph" w:styleId="1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7">
    <w:name w:val="annotation subject"/>
    <w:basedOn w:val="9"/>
    <w:next w:val="9"/>
    <w:link w:val="3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0"/>
    <w:rPr>
      <w:b/>
      <w:bCs/>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styleId="23">
    <w:name w:val="annotation reference"/>
    <w:basedOn w:val="20"/>
    <w:semiHidden/>
    <w:unhideWhenUsed/>
    <w:qFormat/>
    <w:uiPriority w:val="99"/>
    <w:rPr>
      <w:sz w:val="21"/>
      <w:szCs w:val="21"/>
    </w:rPr>
  </w:style>
  <w:style w:type="character" w:customStyle="1" w:styleId="24">
    <w:name w:val="标题 2 Char"/>
    <w:basedOn w:val="20"/>
    <w:link w:val="5"/>
    <w:qFormat/>
    <w:uiPriority w:val="9"/>
    <w:rPr>
      <w:rFonts w:eastAsia="楷体_GB2312" w:asciiTheme="majorHAnsi" w:hAnsiTheme="majorHAnsi" w:cstheme="majorBidi"/>
      <w:bCs/>
      <w:sz w:val="32"/>
      <w:szCs w:val="32"/>
    </w:rPr>
  </w:style>
  <w:style w:type="character" w:customStyle="1" w:styleId="25">
    <w:name w:val="标题 3 Char"/>
    <w:basedOn w:val="20"/>
    <w:link w:val="6"/>
    <w:qFormat/>
    <w:uiPriority w:val="9"/>
    <w:rPr>
      <w:rFonts w:ascii="Times New Roman" w:hAnsi="Times New Roman" w:eastAsia="仿宋" w:cs="Times New Roman"/>
      <w:bCs/>
      <w:sz w:val="32"/>
      <w:szCs w:val="32"/>
    </w:rPr>
  </w:style>
  <w:style w:type="character" w:customStyle="1" w:styleId="26">
    <w:name w:val="页眉 Char"/>
    <w:basedOn w:val="20"/>
    <w:link w:val="13"/>
    <w:qFormat/>
    <w:uiPriority w:val="99"/>
    <w:rPr>
      <w:sz w:val="18"/>
      <w:szCs w:val="18"/>
    </w:rPr>
  </w:style>
  <w:style w:type="character" w:customStyle="1" w:styleId="27">
    <w:name w:val="页脚 Char"/>
    <w:basedOn w:val="20"/>
    <w:link w:val="12"/>
    <w:qFormat/>
    <w:uiPriority w:val="99"/>
    <w:rPr>
      <w:sz w:val="18"/>
      <w:szCs w:val="18"/>
    </w:rPr>
  </w:style>
  <w:style w:type="paragraph" w:customStyle="1" w:styleId="28">
    <w:name w:val="批注文字1"/>
    <w:basedOn w:val="1"/>
    <w:next w:val="9"/>
    <w:link w:val="30"/>
    <w:semiHidden/>
    <w:unhideWhenUsed/>
    <w:qFormat/>
    <w:uiPriority w:val="99"/>
    <w:pPr>
      <w:jc w:val="left"/>
    </w:pPr>
  </w:style>
  <w:style w:type="character" w:customStyle="1" w:styleId="29">
    <w:name w:val="批注文字 Char1"/>
    <w:basedOn w:val="20"/>
    <w:link w:val="9"/>
    <w:qFormat/>
    <w:uiPriority w:val="0"/>
  </w:style>
  <w:style w:type="character" w:customStyle="1" w:styleId="30">
    <w:name w:val="批注文字 Char"/>
    <w:basedOn w:val="20"/>
    <w:link w:val="28"/>
    <w:semiHidden/>
    <w:qFormat/>
    <w:uiPriority w:val="99"/>
  </w:style>
  <w:style w:type="paragraph" w:customStyle="1" w:styleId="31">
    <w:name w:val="批注框文本1"/>
    <w:basedOn w:val="1"/>
    <w:next w:val="11"/>
    <w:link w:val="33"/>
    <w:semiHidden/>
    <w:unhideWhenUsed/>
    <w:qFormat/>
    <w:uiPriority w:val="99"/>
    <w:rPr>
      <w:sz w:val="18"/>
      <w:szCs w:val="18"/>
    </w:rPr>
  </w:style>
  <w:style w:type="character" w:customStyle="1" w:styleId="32">
    <w:name w:val="批注框文本 Char1"/>
    <w:basedOn w:val="20"/>
    <w:link w:val="11"/>
    <w:semiHidden/>
    <w:qFormat/>
    <w:uiPriority w:val="99"/>
    <w:rPr>
      <w:sz w:val="18"/>
      <w:szCs w:val="18"/>
    </w:rPr>
  </w:style>
  <w:style w:type="character" w:customStyle="1" w:styleId="33">
    <w:name w:val="批注框文本 Char"/>
    <w:basedOn w:val="20"/>
    <w:link w:val="31"/>
    <w:semiHidden/>
    <w:qFormat/>
    <w:uiPriority w:val="99"/>
    <w:rPr>
      <w:sz w:val="18"/>
      <w:szCs w:val="18"/>
    </w:rPr>
  </w:style>
  <w:style w:type="character" w:customStyle="1" w:styleId="34">
    <w:name w:val="批注主题 Char"/>
    <w:basedOn w:val="29"/>
    <w:link w:val="17"/>
    <w:semiHidden/>
    <w:qFormat/>
    <w:uiPriority w:val="99"/>
    <w:rPr>
      <w:b/>
      <w:bCs/>
    </w:rPr>
  </w:style>
  <w:style w:type="character" w:customStyle="1" w:styleId="35">
    <w:name w:val="标题 1 Char"/>
    <w:basedOn w:val="20"/>
    <w:link w:val="4"/>
    <w:qFormat/>
    <w:uiPriority w:val="9"/>
    <w:rPr>
      <w:rFonts w:eastAsia="黑体"/>
      <w:bCs/>
      <w:kern w:val="44"/>
      <w:sz w:val="32"/>
      <w:szCs w:val="44"/>
    </w:rPr>
  </w:style>
  <w:style w:type="character" w:customStyle="1" w:styleId="36">
    <w:name w:val="标题 4 Char"/>
    <w:basedOn w:val="20"/>
    <w:link w:val="7"/>
    <w:qFormat/>
    <w:uiPriority w:val="9"/>
    <w:rPr>
      <w:rFonts w:eastAsia="仿宋" w:asciiTheme="majorHAnsi" w:hAnsiTheme="majorHAnsi" w:cstheme="majorBidi"/>
      <w:bCs/>
      <w:sz w:val="32"/>
      <w:szCs w:val="28"/>
    </w:rPr>
  </w:style>
  <w:style w:type="paragraph" w:customStyle="1" w:styleId="37">
    <w:name w:val="TOC 标题1"/>
    <w:basedOn w:val="4"/>
    <w:next w:val="1"/>
    <w:unhideWhenUsed/>
    <w:qFormat/>
    <w:uiPriority w:val="39"/>
    <w:pPr>
      <w:widowControl/>
      <w:spacing w:before="240" w:line="259" w:lineRule="auto"/>
      <w:ind w:firstLine="0" w:firstLineChars="0"/>
      <w:jc w:val="left"/>
      <w:outlineLvl w:val="9"/>
    </w:pPr>
    <w:rPr>
      <w:rFonts w:asciiTheme="majorHAnsi" w:hAnsiTheme="majorHAnsi" w:eastAsiaTheme="majorEastAsia" w:cstheme="majorBidi"/>
      <w:bCs w:val="0"/>
      <w:color w:val="2F5597" w:themeColor="accent1" w:themeShade="BF"/>
      <w:kern w:val="0"/>
      <w:szCs w:val="32"/>
    </w:rPr>
  </w:style>
  <w:style w:type="character" w:customStyle="1" w:styleId="38">
    <w:name w:val="font11"/>
    <w:basedOn w:val="20"/>
    <w:qFormat/>
    <w:uiPriority w:val="0"/>
    <w:rPr>
      <w:rFonts w:hint="eastAsia" w:ascii="等线" w:hAnsi="等线" w:eastAsia="等线" w:cs="等线"/>
      <w:color w:val="000000"/>
      <w:sz w:val="22"/>
      <w:szCs w:val="22"/>
      <w:u w:val="none"/>
    </w:rPr>
  </w:style>
  <w:style w:type="character" w:customStyle="1" w:styleId="39">
    <w:name w:val="font21"/>
    <w:basedOn w:val="20"/>
    <w:qFormat/>
    <w:uiPriority w:val="0"/>
    <w:rPr>
      <w:rFonts w:ascii="方正书宋_GBK" w:hAnsi="方正书宋_GBK" w:eastAsia="方正书宋_GBK" w:cs="方正书宋_GBK"/>
      <w:color w:val="000000"/>
      <w:sz w:val="20"/>
      <w:szCs w:val="20"/>
      <w:u w:val="none"/>
    </w:rPr>
  </w:style>
  <w:style w:type="paragraph" w:customStyle="1" w:styleId="40">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41">
    <w:name w:val="修订2"/>
    <w:hidden/>
    <w:unhideWhenUsed/>
    <w:qFormat/>
    <w:uiPriority w:val="99"/>
    <w:rPr>
      <w:rFonts w:asciiTheme="minorHAnsi" w:hAnsiTheme="minorHAnsi" w:eastAsiaTheme="minorEastAsia" w:cstheme="minorBidi"/>
      <w:kern w:val="2"/>
      <w:sz w:val="21"/>
      <w:szCs w:val="22"/>
      <w:lang w:val="en-US" w:eastAsia="zh-CN" w:bidi="ar-SA"/>
    </w:rPr>
  </w:style>
  <w:style w:type="table" w:customStyle="1" w:styleId="42">
    <w:name w:val="Table Normal"/>
    <w:semiHidden/>
    <w:unhideWhenUsed/>
    <w:qFormat/>
    <w:uiPriority w:val="0"/>
    <w:tblPr>
      <w:tblCellMar>
        <w:top w:w="0" w:type="dxa"/>
        <w:left w:w="0" w:type="dxa"/>
        <w:bottom w:w="0" w:type="dxa"/>
        <w:right w:w="0" w:type="dxa"/>
      </w:tblCellMar>
    </w:tblPr>
  </w:style>
  <w:style w:type="character" w:customStyle="1" w:styleId="43">
    <w:name w:val="font81"/>
    <w:basedOn w:val="20"/>
    <w:qFormat/>
    <w:uiPriority w:val="0"/>
    <w:rPr>
      <w:rFonts w:hint="eastAsia" w:ascii="仿宋_GB2312" w:eastAsia="仿宋_GB2312" w:cs="仿宋_GB2312"/>
      <w:color w:val="000000"/>
      <w:sz w:val="20"/>
      <w:szCs w:val="20"/>
      <w:u w:val="none"/>
    </w:rPr>
  </w:style>
  <w:style w:type="character" w:customStyle="1" w:styleId="44">
    <w:name w:val="font91"/>
    <w:basedOn w:val="2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28</Pages>
  <Words>11844</Words>
  <Characters>13676</Characters>
  <Lines>113</Lines>
  <Paragraphs>32</Paragraphs>
  <TotalTime>3</TotalTime>
  <ScaleCrop>false</ScaleCrop>
  <LinksUpToDate>false</LinksUpToDate>
  <CharactersWithSpaces>14100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2022-10-11T03:31:00Z</dcterms:created>
  <dc:creator>Yoshi</dc:creator>
  <cp:lastModifiedBy>邓婷</cp:lastModifiedBy>
  <cp:lastPrinted>2023-12-14T13:02:00Z</cp:lastPrinted>
  <dcterms:modified xsi:type="dcterms:W3CDTF">2024-11-20T07:11:56Z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9E6F3E76FCA248A88FBD77C3C9D91A13_13</vt:lpwstr>
  </property>
</Properties>
</file>